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Obehové hospodárstvo a vplyv na vytváranie hodnôt študentov</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Bc. Tibor Teodor Lachkovič | 9. 10. 2022</w:t>
      </w:r>
    </w:p>
    <w:p w:rsidR="00000000" w:rsidDel="00000000" w:rsidP="00000000" w:rsidRDefault="00000000" w:rsidRPr="00000000" w14:paraId="00000003">
      <w:pPr>
        <w:spacing w:line="360" w:lineRule="auto"/>
        <w:jc w:val="both"/>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004">
      <w:pPr>
        <w:spacing w:line="360" w:lineRule="auto"/>
        <w:ind w:firstLine="720"/>
        <w:jc w:val="both"/>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Po rokoch využívania dostupných zdrojov je potrebné zistiť efektívne a ekologické riešenia pre ďalšie generácie. Model obehového hospodárstva nám pomôže využiť zdroje efektívne minimalizáciou odpadu. Zároveň ide o koncept dlhodobého zachovanie hodnoty a zníženie primárnych zdrojov, čím sa chráni životné prostredie a využívajú sa sociálno-ekonomické výhody.</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Ide tiež o systematický posun smerom k regeneratívnemu výrobnému procesu, ktorý znižuje spotrebu materiálov a súčasne má a priaznivý vplyv na odstraňovanie odpadu.</w:t>
      </w:r>
      <w:r w:rsidDel="00000000" w:rsidR="00000000" w:rsidRPr="00000000">
        <w:rPr>
          <w:rFonts w:ascii="Times New Roman" w:cs="Times New Roman" w:eastAsia="Times New Roman" w:hAnsi="Times New Roman"/>
          <w:sz w:val="24"/>
          <w:szCs w:val="24"/>
          <w:vertAlign w:val="superscript"/>
          <w:rtl w:val="0"/>
        </w:rPr>
        <w:t xml:space="preserve">2</w:t>
      </w:r>
    </w:p>
    <w:p w:rsidR="00000000" w:rsidDel="00000000" w:rsidP="00000000" w:rsidRDefault="00000000" w:rsidRPr="00000000" w14:paraId="00000005">
      <w:pPr>
        <w:spacing w:line="360" w:lineRule="auto"/>
        <w:ind w:firstLine="72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Budovanie hodnôt u detí a mládeže je jedným z hlavných pilierov výchovy vo vyspelých krajín. So strednou školou je možné podieľať sa na tvorbe ich hodnotového systemu a vysokoškolákov. </w:t>
      </w:r>
      <w:r w:rsidDel="00000000" w:rsidR="00000000" w:rsidRPr="00000000">
        <w:rPr>
          <w:rFonts w:ascii="Times New Roman" w:cs="Times New Roman" w:eastAsia="Times New Roman" w:hAnsi="Times New Roman"/>
          <w:i w:val="1"/>
          <w:sz w:val="24"/>
          <w:szCs w:val="24"/>
          <w:rtl w:val="0"/>
        </w:rPr>
        <w:t xml:space="preserve">Vzhľadom na ich školskú socializáciu je bežnú prax, že učitelia, ktorí sú prirodzenými odborníkmi a ľudskými autoritami, majú najvýznamnejšie vplyvi na budowanie hodnôt. V mnohých prípadoch je motívom úpravy týchto hodnôt podobať sa učiteľovi s vyššou mocou.</w:t>
      </w:r>
      <w:r w:rsidDel="00000000" w:rsidR="00000000" w:rsidRPr="00000000">
        <w:rPr>
          <w:rFonts w:ascii="Times New Roman" w:cs="Times New Roman" w:eastAsia="Times New Roman" w:hAnsi="Times New Roman"/>
          <w:i w:val="1"/>
          <w:sz w:val="24"/>
          <w:szCs w:val="24"/>
          <w:vertAlign w:val="superscript"/>
          <w:rtl w:val="0"/>
        </w:rPr>
        <w:t xml:space="preserve">3</w:t>
      </w:r>
      <w:r w:rsidDel="00000000" w:rsidR="00000000" w:rsidRPr="00000000">
        <w:rPr>
          <w:rtl w:val="0"/>
        </w:rPr>
      </w:r>
    </w:p>
    <w:p w:rsidR="00000000" w:rsidDel="00000000" w:rsidP="00000000" w:rsidRDefault="00000000" w:rsidRPr="00000000" w14:paraId="00000006">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Motivácia k obehovému hospodárstvu a jeho prvkom môže pozitívne vplývať na študentov a ich hodnoty v oblasti proenvironmentálneho myslenia a ochrany životného prostredia. Tak ako motivovať študentov? Môžeme vychádzať z troch druhov benefitov, ktoré Slovenský Inštitút cirkulárnej ekonomiky zriadil:</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Ekonomické výhody:</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Možné využitie leasingu alebo prenájmu</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Zníženie celkových nákladov v dlhodobom horizonte</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ekologických a digitálnych inovácií na trhu</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konkurencieschopnosti produktov/služieb</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Budovanie odolnosti voči vonkajším vplyvom</w:t>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Výhody pre životné prostredie:</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Zníženie znečistenia vody a ovzdušia</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Zníženie emisií skleníkových plynov, príspevok ku klimatickým zmenám</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Ochrana neobnoviteľných zdrojov</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Ochrana ekosystémov</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Zníženie množstva odpadu</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Zníženie spotreby energie</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Podpora trvalo udržateľného poľnohospodárstva a miestnych produktov</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Zníženie environmentálnej stopy</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Zníženie využívania primárnych zdrojov</w:t>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Sociálne benefity:</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Zlepšenie sociálnych a zdravotných podmienok pracovníkov</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Zlepšenie kvality života</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Zvyšovanie zdravotných štandardov</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Zvyšovanie sebauvedomenia pracovníkov</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Zlepšenie kvality potravín na pracovisku</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Vytváranie (kruhových) pracovných miest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4</w:t>
      </w:r>
      <w:r w:rsidDel="00000000" w:rsidR="00000000" w:rsidRPr="00000000">
        <w:rPr>
          <w:rtl w:val="0"/>
        </w:rPr>
      </w:r>
    </w:p>
    <w:p w:rsidR="00000000" w:rsidDel="00000000" w:rsidP="00000000" w:rsidRDefault="00000000" w:rsidRPr="00000000" w14:paraId="00000021">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Príkladom dobrej praxe, ktorú môžete realizovať na ktorejkoľvek škole, je napríklad typická výmena oblečenia, kníh, učebníc alebo iných predmetov. Je to podujatie, na ktorom si účastníci podávajú ruky nad položkou za položku. Užitočné môže byť aj vytvorenie centra opätovného použitia, ktoré bude slúžiť návštevníkom školy aj okoliu oblasť. Miesto, kde môžete odložiť drobnosti z domácnosti, ktoré by ste inak vyhodili preč zadarmo. Objekty si tak ľahko nájdu nového majiteľa. </w:t>
      </w:r>
    </w:p>
    <w:p w:rsidR="00000000" w:rsidDel="00000000" w:rsidP="00000000" w:rsidRDefault="00000000" w:rsidRPr="00000000" w14:paraId="00000022">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 školská jedáleň sa môže stať kruhovou. Malo by to trvať environmentálne a sociálne zodpovednosť. Používajte produkty zo známych zdrojov, ekologického poľnohospodárstva, zvierat produkcia (welfare zvierat), komunitou podporované poľnohospodárstvo a podpora malých výrobcov resp predchádzanie vzniku odpadu (obalový materiál a možnosť nákupu surovín vo väčšom obaly alebo vratné obaly).</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vertAlign w:val="superscript"/>
        <w:rtl w:val="0"/>
      </w:rPr>
      <w:t xml:space="preserve">1</w:t>
    </w:r>
    <w:r w:rsidDel="00000000" w:rsidR="00000000" w:rsidRPr="00000000">
      <w:rPr>
        <w:rFonts w:ascii="Times New Roman" w:cs="Times New Roman" w:eastAsia="Times New Roman" w:hAnsi="Times New Roman"/>
        <w:sz w:val="18"/>
        <w:szCs w:val="18"/>
        <w:rtl w:val="0"/>
      </w:rPr>
      <w:t xml:space="preserve"> MORSELETTO, Piero. Ciele pre obehové hospodárstvo. Zdroje, konzervácia a recyklácia, 2020, 153: 104553.</w:t>
    </w:r>
  </w:p>
  <w:p w:rsidR="00000000" w:rsidDel="00000000" w:rsidP="00000000" w:rsidRDefault="00000000" w:rsidRPr="00000000" w14:paraId="00000024">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vertAlign w:val="superscript"/>
        <w:rtl w:val="0"/>
      </w:rPr>
      <w:t xml:space="preserve">2</w:t>
    </w:r>
    <w:r w:rsidDel="00000000" w:rsidR="00000000" w:rsidRPr="00000000">
      <w:rPr>
        <w:rFonts w:ascii="Times New Roman" w:cs="Times New Roman" w:eastAsia="Times New Roman" w:hAnsi="Times New Roman"/>
        <w:sz w:val="18"/>
        <w:szCs w:val="18"/>
        <w:rtl w:val="0"/>
      </w:rPr>
      <w:t xml:space="preserve"> YU, Yifei a kol. Obehové hospodárstvo v stavebníctve: Prehľad nástrojov na podporu rozhodovania založené na informačných a komunikačných technológiách. Časopis čistejšej výroby, 2022, 131335.</w:t>
    </w:r>
  </w:p>
  <w:p w:rsidR="00000000" w:rsidDel="00000000" w:rsidP="00000000" w:rsidRDefault="00000000" w:rsidRPr="00000000" w14:paraId="00000025">
    <w:pPr>
      <w:spacing w:line="276"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vertAlign w:val="superscript"/>
        <w:rtl w:val="0"/>
      </w:rPr>
      <w:t xml:space="preserve">3</w:t>
    </w:r>
    <w:r w:rsidDel="00000000" w:rsidR="00000000" w:rsidRPr="00000000">
      <w:rPr>
        <w:rFonts w:ascii="Times New Roman" w:cs="Times New Roman" w:eastAsia="Times New Roman" w:hAnsi="Times New Roman"/>
        <w:sz w:val="18"/>
        <w:szCs w:val="18"/>
        <w:rtl w:val="0"/>
      </w:rPr>
      <w:t xml:space="preserve"> KNAPÍK, J. PROCES TVORBY HODNOTOVÉHO SYSTÉMU VYSOKOŠKOLÁKOV. V: Zborník INTED2022. IATED, 2022. s. 3845-3853.</w:t>
    </w:r>
  </w:p>
  <w:p w:rsidR="00000000" w:rsidDel="00000000" w:rsidP="00000000" w:rsidRDefault="00000000" w:rsidRPr="00000000" w14:paraId="00000026">
    <w:pPr>
      <w:spacing w:after="0" w:line="276" w:lineRule="auto"/>
      <w:jc w:val="both"/>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sz w:val="18"/>
        <w:szCs w:val="18"/>
        <w:rtl w:val="0"/>
      </w:rPr>
      <w:t xml:space="preserve">4 Jonášová, S. et al. </w:t>
    </w:r>
    <w:r w:rsidDel="00000000" w:rsidR="00000000" w:rsidRPr="00000000">
      <w:rPr>
        <w:rFonts w:ascii="Times New Roman" w:cs="Times New Roman" w:eastAsia="Times New Roman" w:hAnsi="Times New Roman"/>
        <w:i w:val="1"/>
        <w:sz w:val="18"/>
        <w:szCs w:val="18"/>
        <w:rtl w:val="0"/>
      </w:rPr>
      <w:t xml:space="preserve">Metodika cirkulárneho verejného obstarávania vo verejných a v súkromných zákazkách. </w:t>
    </w:r>
    <w:r w:rsidDel="00000000" w:rsidR="00000000" w:rsidRPr="00000000">
      <w:rPr>
        <w:rFonts w:ascii="Times New Roman" w:cs="Times New Roman" w:eastAsia="Times New Roman" w:hAnsi="Times New Roman"/>
        <w:sz w:val="18"/>
        <w:szCs w:val="18"/>
        <w:rtl w:val="0"/>
      </w:rPr>
      <w:t xml:space="preserve">Inštitút cirkulárnej ekonomiky : Bratislava, 2021. Dostupné na: https://www.incien.sk/wp-content/uploads/2022/04/incien_obstaravanie-manual_sk.pdf</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2A5732"/>
    <w:pPr>
      <w:tabs>
        <w:tab w:val="center" w:pos="4513"/>
        <w:tab w:val="right" w:pos="9026"/>
      </w:tabs>
      <w:spacing w:after="0" w:line="240" w:lineRule="auto"/>
    </w:pPr>
  </w:style>
  <w:style w:type="character" w:styleId="HeaderChar" w:customStyle="1">
    <w:name w:val="Header Char"/>
    <w:basedOn w:val="DefaultParagraphFont"/>
    <w:link w:val="Header"/>
    <w:uiPriority w:val="99"/>
    <w:rsid w:val="002A5732"/>
    <w:rPr>
      <w:lang w:val="en-GB"/>
    </w:rPr>
  </w:style>
  <w:style w:type="paragraph" w:styleId="Footer">
    <w:name w:val="footer"/>
    <w:basedOn w:val="Normal"/>
    <w:link w:val="FooterChar"/>
    <w:uiPriority w:val="99"/>
    <w:unhideWhenUsed w:val="1"/>
    <w:rsid w:val="002A5732"/>
    <w:pPr>
      <w:tabs>
        <w:tab w:val="center" w:pos="4513"/>
        <w:tab w:val="right" w:pos="9026"/>
      </w:tabs>
      <w:spacing w:after="0" w:line="240" w:lineRule="auto"/>
    </w:pPr>
  </w:style>
  <w:style w:type="character" w:styleId="FooterChar" w:customStyle="1">
    <w:name w:val="Footer Char"/>
    <w:basedOn w:val="DefaultParagraphFont"/>
    <w:link w:val="Footer"/>
    <w:uiPriority w:val="99"/>
    <w:rsid w:val="002A5732"/>
    <w:rPr>
      <w:lang w:val="en-GB"/>
    </w:rPr>
  </w:style>
  <w:style w:type="paragraph" w:styleId="ListParagraph">
    <w:name w:val="List Paragraph"/>
    <w:basedOn w:val="Normal"/>
    <w:uiPriority w:val="34"/>
    <w:qFormat w:val="1"/>
    <w:rsid w:val="00F50A4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QR5YDKVvw+c/wH/k5zHHlnVpXg==">CgMxLjA4AHIhMTFfMEpMVUh4U2lObnpCOGM3MjBkNmxWRXZ2Q09fXzhE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2023-02-17T11:06:00Z</dcterms:created>
  <dc:creator>Karabinošová, K. (Klaudia)</dc:creator>
</cp:coreProperties>
</file>