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center"/>
        <w:rPr>
          <w:rFonts w:ascii="Times New Roman" w:cs="Times New Roman" w:eastAsia="Times New Roman" w:hAnsi="Times New Roman"/>
          <w:b w:val="1"/>
          <w:sz w:val="40"/>
          <w:szCs w:val="40"/>
        </w:rPr>
      </w:pPr>
      <w:r w:rsidDel="00000000" w:rsidR="00000000" w:rsidRPr="00000000">
        <w:rPr>
          <w:rFonts w:ascii="Times New Roman" w:cs="Times New Roman" w:eastAsia="Times New Roman" w:hAnsi="Times New Roman"/>
          <w:b w:val="1"/>
          <w:sz w:val="40"/>
          <w:szCs w:val="40"/>
          <w:rtl w:val="0"/>
        </w:rPr>
        <w:t xml:space="preserve">Transformačné vzdelávanie - návrhy zmien v prístupe k odbornému vzdelávaniu mládeže</w:t>
      </w:r>
    </w:p>
    <w:p w:rsidR="00000000" w:rsidDel="00000000" w:rsidP="00000000" w:rsidRDefault="00000000" w:rsidRPr="00000000" w14:paraId="00000002">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Dr Andrzej Wojciech Stępnikowski</w:t>
      </w:r>
    </w:p>
    <w:p w:rsidR="00000000" w:rsidDel="00000000" w:rsidP="00000000" w:rsidRDefault="00000000" w:rsidRPr="00000000" w14:paraId="00000003">
      <w:pPr>
        <w:spacing w:line="360" w:lineRule="auto"/>
        <w:jc w:val="both"/>
        <w:rPr>
          <w:rFonts w:ascii="Times New Roman" w:cs="Times New Roman" w:eastAsia="Times New Roman" w:hAnsi="Times New Roman"/>
          <w:sz w:val="4"/>
          <w:szCs w:val="4"/>
        </w:rPr>
      </w:pPr>
      <w:r w:rsidDel="00000000" w:rsidR="00000000" w:rsidRPr="00000000">
        <w:rPr>
          <w:rtl w:val="0"/>
        </w:rPr>
      </w:r>
    </w:p>
    <w:p w:rsidR="00000000" w:rsidDel="00000000" w:rsidP="00000000" w:rsidRDefault="00000000" w:rsidRPr="00000000" w14:paraId="00000004">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Návrhy zmien v prístupe k odbornému vzdelávaniu mládeže (a učiteľov)</w:t>
      </w:r>
    </w:p>
    <w:p w:rsidR="00000000" w:rsidDel="00000000" w:rsidP="00000000" w:rsidRDefault="00000000" w:rsidRPr="00000000" w14:paraId="00000005">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 ohľadom na vyššie uvedené sa navrhuje paralelne školiť študentov a ich majstrov a učiteľov formovaním ich kompetencií v oblasti trvalo udržateľného rozvoja – berúc do úvahy práve vyvinutý Európsky rámec kompetencií pre trvalo udržateľný rozvoj (GreenComp) od B. Guia a ďalších výskumníkov. z Komunitného výskumného centra. (https://publications.jrc.ec.europa.eu/repository/handle/JRC128040).</w:t>
      </w:r>
    </w:p>
    <w:p w:rsidR="00000000" w:rsidDel="00000000" w:rsidP="00000000" w:rsidRDefault="00000000" w:rsidRPr="00000000" w14:paraId="00000006">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Výsledky vzdelávania podľa transformatívneho učenia sú opísané vedomosťami, zručnosťami, postojmi a hodnotami (v poľskom kvalifikačnom rámci máme namiesto postojov a hodnôt, odkazy na sociálne kompetencie). Hľadáte odpoveď na otázku "Ako máme pripraviť budúcich profesionálov-pedagógov a šampiónov na realizáciu Cieľov udržateľného rozvoja?" stojí za to pozrieť sa na OECD Learning Compass 2030, ktorý skúma, ako vytvoriť také vzdelávacie prostredia, ktoré by „živili“ transformačné kompetencie (Bianchi G, s. 28). Budúci profesionálni pedagógovia by mali tieto kľúčové kompetencie získať spolu s odbornými a didaktickými kompetenciami (prvky pedagogiky/andragogiky). Didaktické kompetencie totiž definujú schopnosť aplikovať vybrané metódy, formy a techniky sprostredkovania informácií účastníkom s využitím IKT technológií a komunikačných zručností, ako aj „pochopenie vykonávaných sociálnych a profesijných rolí“ (Salad E. 2013, str. 81-90). "OECD Learning Compass poskytuje pochopenie zložitosti otázok súvisiacich s kompetenciami požadovanými vo vzdelávaní do budúcnosti, čo je kľúčové pre všetkých pedagógov v oblasti Agenda 2030."</w:t>
      </w:r>
    </w:p>
    <w:p w:rsidR="00000000" w:rsidDel="00000000" w:rsidP="00000000" w:rsidRDefault="00000000" w:rsidRPr="00000000" w14:paraId="00000007">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Učenie (najmä transformačné učenie) je zasadené do formovania postojov a hodnôt, ktoré obohacujú našu osobnosť. Vedomostiam a zručnostiam sa učíme nielen kvôli nim samotným, ale aj pre „vyššie ciele“, ktoré sú spojené s naším pohľadom na život. Tieto názory sú funkciou našich osobností s ich inteligenciou, skúsenosťami, postojmi a hodnotami. V centre našej osobnosti je však etika. Maria Grzegorzewska zasa hovorievala, že hodnota učiteľa sa meria jeho postojom k inej osobe („učiteľ musí byť slobodný, etický, socializovaný a úplný človek“ a verný svojmu presvedčeniu). J. W. Dawid poukázal na to, že pedagóg (v našom kontexte aj tréner) musí reprezentovať určité etické hodnoty a zodpovednosť spojenú so zmyslom pre povinnosť, neustále sa zlepšovať, ochotou prinášať obete a schopnosťou vzdorovať nepriazni osudu. Environmentálne a v širšom zmysle – výchova k trvalo udržateľnému rozvoju by mala prebiehať nielen v „školskej lavici“, ale v prvom rade na pracovisku a v školských dielňach, pretože práve tam sa žiak môže v praxi naučiť hodnotu (axiologickú a ekonomickú) z predpokladov Agendy 2030. „Learning by doing“ realizované po generácie remeselníkmi a propagované Johnom Deweym je stále najúčinnejšou formou tréningu návykov a postojov.</w:t>
      </w:r>
    </w:p>
    <w:p w:rsidR="00000000" w:rsidDel="00000000" w:rsidP="00000000" w:rsidRDefault="00000000" w:rsidRPr="00000000" w14:paraId="00000008">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Zhrnutie</w:t>
      </w:r>
    </w:p>
    <w:p w:rsidR="00000000" w:rsidDel="00000000" w:rsidP="00000000" w:rsidRDefault="00000000" w:rsidRPr="00000000" w14:paraId="00000009">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 záver, alebo skôr na začiatok úvahy o budúcnosti (medzigeneračného) odborného vzdelávania, je potrebné položiť problematiku holisticky – z pohľadu študenta aj učiteľa – so zreteľom na tzv. vyplývajúce zo vzdelávacieho kompasu OECD, t. j. blaho nás samých, nášho okolia a – všeobecne povedané – našej Zeme. Učiteľ, majster alebo inštruktor by mal byť človek, ktorý si uvedomuje dôležitosť etického myslenia a konania (vedeť bojovať s vlastným sebectvom a byť orientovaný na spoločné dobro). Durkheim a iní teoretici sociálnych vied poukázali na to, že problémom moderných spoločností je problém zdieľať našu individualitu s inými bytosťami a uvedomenie si potreby prekonať sebecké postoje a zároveň sa stať otvorenejšími spoločnému dobru (Ćurko B. a kol., str. 63). Správnym vzdelávaním mládeže a učiteľov môžeme zmeniť súčasnú situáciu a formovať postoje smerom, ktorý si želá Agenda 2030.</w:t>
      </w:r>
    </w:p>
    <w:p w:rsidR="00000000" w:rsidDel="00000000" w:rsidP="00000000" w:rsidRDefault="00000000" w:rsidRPr="00000000" w14:paraId="0000000A">
      <w:pPr>
        <w:spacing w:line="360" w:lineRule="auto"/>
        <w:ind w:firstLine="708"/>
        <w:jc w:val="both"/>
        <w:rPr>
          <w:rFonts w:ascii="Times New Roman" w:cs="Times New Roman" w:eastAsia="Times New Roman" w:hAnsi="Times New Roman"/>
          <w:sz w:val="24"/>
          <w:szCs w:val="24"/>
        </w:rPr>
        <w:sectPr>
          <w:headerReference r:id="rId7" w:type="default"/>
          <w:pgSz w:h="15840" w:w="12240" w:orient="portrait"/>
          <w:pgMar w:bottom="1440" w:top="1440" w:left="1440" w:right="1440" w:header="720" w:footer="720"/>
          <w:pgNumType w:start="1"/>
        </w:sectPr>
      </w:pPr>
      <w:r w:rsidDel="00000000" w:rsidR="00000000" w:rsidRPr="00000000">
        <w:rPr>
          <w:rFonts w:ascii="Times New Roman" w:cs="Times New Roman" w:eastAsia="Times New Roman" w:hAnsi="Times New Roman"/>
          <w:b w:val="1"/>
          <w:sz w:val="24"/>
          <w:szCs w:val="24"/>
          <w:rtl w:val="0"/>
        </w:rPr>
        <w:t xml:space="preserve">Pre budúcich učiteľov (vrátane inštruktorov praktickej prípravy) je jednou z najdôležitejších otázok schopnosť zvoliť si vhodné metódy a nástroje, aby účastníkom oslovili hlavné posolstvá a dokázali ovplyvniť ich postoje</w:t>
      </w:r>
      <w:r w:rsidDel="00000000" w:rsidR="00000000" w:rsidRPr="00000000">
        <w:rPr>
          <w:rFonts w:ascii="Times New Roman" w:cs="Times New Roman" w:eastAsia="Times New Roman" w:hAnsi="Times New Roman"/>
          <w:sz w:val="24"/>
          <w:szCs w:val="24"/>
          <w:rtl w:val="0"/>
        </w:rPr>
        <w:t xml:space="preserve">. Medzi nasledujúcimi metódami môžeme vidieť tie univerzálne, ako aj tie, ktoré súvisia so zdieľaním vedomostí v rámci komunity, a jeden príklad environmentálnej výchovy (praktickej). Zdá sa, že univerzálne pedagogické metódy bývajú všeobecnejšie a menej efektívne ako špecializované, s výnimkou dvoch pozitívnych príkladov „prípadových štúdií“ a „projektového / problémového učenia“. Efektívnosť vzorových pedagogických prístupov k udržateľnosti vyučovania je zhrnutá nižšie v tabuľke 1. Rámec prepojenia pedagogických prístupov s kompetencjami udržateľnosti (celú tabuľku zostavil Bianchi G. 2020).</w:t>
      </w:r>
    </w:p>
    <w:p w:rsidR="00000000" w:rsidDel="00000000" w:rsidP="00000000" w:rsidRDefault="00000000" w:rsidRPr="00000000" w14:paraId="0000000B">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Tabuľka 1. Rámec spájajúci pedagogické prístupy s kompetenciami udržateľnosti</w:t>
      </w:r>
    </w:p>
    <w:tbl>
      <w:tblPr>
        <w:tblStyle w:val="Table1"/>
        <w:tblW w:w="1243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043"/>
        <w:gridCol w:w="1216"/>
        <w:gridCol w:w="1963"/>
        <w:gridCol w:w="1229"/>
        <w:gridCol w:w="1460"/>
        <w:gridCol w:w="2456"/>
        <w:gridCol w:w="2057"/>
        <w:gridCol w:w="13"/>
        <w:tblGridChange w:id="0">
          <w:tblGrid>
            <w:gridCol w:w="2043"/>
            <w:gridCol w:w="1216"/>
            <w:gridCol w:w="1963"/>
            <w:gridCol w:w="1229"/>
            <w:gridCol w:w="1460"/>
            <w:gridCol w:w="2456"/>
            <w:gridCol w:w="2057"/>
            <w:gridCol w:w="13"/>
          </w:tblGrid>
        </w:tblGridChange>
      </w:tblGrid>
      <w:tr>
        <w:trPr>
          <w:cantSplit w:val="0"/>
          <w:trHeight w:val="414" w:hRule="atLeast"/>
          <w:tblHeader w:val="0"/>
        </w:trPr>
        <w:tc>
          <w:tcPr>
            <w:vMerge w:val="restart"/>
          </w:tcPr>
          <w:p w:rsidR="00000000" w:rsidDel="00000000" w:rsidP="00000000" w:rsidRDefault="00000000" w:rsidRPr="00000000" w14:paraId="0000000C">
            <w:pPr>
              <w:spacing w:after="0" w:line="36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D">
            <w:pPr>
              <w:spacing w:after="0"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KOMPETENCIE</w:t>
            </w:r>
          </w:p>
        </w:tc>
      </w:tr>
      <w:tr>
        <w:trPr>
          <w:cantSplit w:val="0"/>
          <w:trHeight w:val="383" w:hRule="atLeast"/>
          <w:tblHeader w:val="0"/>
        </w:trPr>
        <w:tc>
          <w:tcPr>
            <w:vMerge w:val="continue"/>
          </w:tcPr>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gridSpan w:val="5"/>
          </w:tcPr>
          <w:p w:rsidR="00000000" w:rsidDel="00000000" w:rsidP="00000000" w:rsidRDefault="00000000" w:rsidRPr="00000000" w14:paraId="0000000F">
            <w:pPr>
              <w:spacing w:after="0"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Univerzálna </w:t>
            </w:r>
          </w:p>
        </w:tc>
        <w:tc>
          <w:tcPr>
            <w:gridSpan w:val="2"/>
          </w:tcPr>
          <w:p w:rsidR="00000000" w:rsidDel="00000000" w:rsidP="00000000" w:rsidRDefault="00000000" w:rsidRPr="00000000" w14:paraId="00000014">
            <w:pPr>
              <w:spacing w:after="0"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Environmentálna výchova</w:t>
            </w:r>
          </w:p>
        </w:tc>
      </w:tr>
      <w:tr>
        <w:trPr>
          <w:cantSplit w:val="0"/>
          <w:trHeight w:val="199" w:hRule="atLeast"/>
          <w:tblHeader w:val="0"/>
        </w:trPr>
        <w:tc>
          <w:tcPr>
            <w:vMerge w:val="continue"/>
          </w:tcPr>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017">
            <w:pPr>
              <w:spacing w:after="0" w:line="36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Prípadové štúdie</w:t>
            </w:r>
          </w:p>
        </w:tc>
        <w:tc>
          <w:tcPr/>
          <w:p w:rsidR="00000000" w:rsidDel="00000000" w:rsidP="00000000" w:rsidRDefault="00000000" w:rsidRPr="00000000" w14:paraId="00000018">
            <w:pPr>
              <w:spacing w:after="0" w:line="36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Interdisciplinárna tímová výučba</w:t>
            </w:r>
          </w:p>
        </w:tc>
        <w:tc>
          <w:tcPr/>
          <w:p w:rsidR="00000000" w:rsidDel="00000000" w:rsidP="00000000" w:rsidRDefault="00000000" w:rsidRPr="00000000" w14:paraId="00000019">
            <w:pPr>
              <w:spacing w:after="0" w:line="36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Prednášky </w:t>
            </w:r>
          </w:p>
        </w:tc>
        <w:tc>
          <w:tcPr/>
          <w:p w:rsidR="00000000" w:rsidDel="00000000" w:rsidP="00000000" w:rsidRDefault="00000000" w:rsidRPr="00000000" w14:paraId="0000001A">
            <w:pPr>
              <w:spacing w:after="0" w:line="36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Koncepčné myšlienkové mapy</w:t>
            </w:r>
          </w:p>
        </w:tc>
        <w:tc>
          <w:tcPr/>
          <w:p w:rsidR="00000000" w:rsidDel="00000000" w:rsidP="00000000" w:rsidRDefault="00000000" w:rsidRPr="00000000" w14:paraId="0000001B">
            <w:pPr>
              <w:spacing w:after="0" w:line="36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Problémové/projektové učenie </w:t>
            </w:r>
          </w:p>
        </w:tc>
        <w:tc>
          <w:tcPr/>
          <w:p w:rsidR="00000000" w:rsidDel="00000000" w:rsidP="00000000" w:rsidRDefault="00000000" w:rsidRPr="00000000" w14:paraId="0000001C">
            <w:pPr>
              <w:spacing w:after="0" w:line="36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Environmentálna</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výchova umiestnená v špecifickom prostredí</w:t>
            </w:r>
          </w:p>
        </w:tc>
      </w:tr>
      <w:tr>
        <w:trPr>
          <w:cantSplit w:val="0"/>
          <w:trHeight w:val="768" w:hRule="atLeast"/>
          <w:tblHeader w:val="0"/>
        </w:trPr>
        <w:tc>
          <w:tcPr/>
          <w:p w:rsidR="00000000" w:rsidDel="00000000" w:rsidP="00000000" w:rsidRDefault="00000000" w:rsidRPr="00000000" w14:paraId="0000001D">
            <w:pPr>
              <w:spacing w:after="0" w:line="36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Systémové myslenie</w:t>
            </w:r>
          </w:p>
        </w:tc>
        <w:tc>
          <w:tcPr/>
          <w:p w:rsidR="00000000" w:rsidDel="00000000" w:rsidP="00000000" w:rsidRDefault="00000000" w:rsidRPr="00000000" w14:paraId="0000001E">
            <w:pPr>
              <w:spacing w:after="0" w:line="360" w:lineRule="auto"/>
              <w:jc w:val="both"/>
              <w:rPr>
                <w:rFonts w:ascii="Times New Roman" w:cs="Times New Roman" w:eastAsia="Times New Roman" w:hAnsi="Times New Roman"/>
                <w:b w:val="1"/>
                <w:sz w:val="24"/>
                <w:szCs w:val="24"/>
              </w:rPr>
            </w:pPr>
            <w:r w:rsidDel="00000000" w:rsidR="00000000" w:rsidRPr="00000000">
              <w:rPr>
                <w:rFonts w:ascii="Wingdings" w:cs="Wingdings" w:eastAsia="Wingdings" w:hAnsi="Wingdings"/>
                <w:b w:val="1"/>
                <w:sz w:val="24"/>
                <w:szCs w:val="24"/>
                <w:rtl w:val="0"/>
              </w:rPr>
              <w:t xml:space="preserve">☺</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Wingdings" w:cs="Wingdings" w:eastAsia="Wingdings" w:hAnsi="Wingdings"/>
                <w:b w:val="1"/>
                <w:sz w:val="24"/>
                <w:szCs w:val="24"/>
                <w:rtl w:val="0"/>
              </w:rPr>
              <w:t xml:space="preserve">☺</w:t>
            </w:r>
            <w:r w:rsidDel="00000000" w:rsidR="00000000" w:rsidRPr="00000000">
              <w:rPr>
                <w:rtl w:val="0"/>
              </w:rPr>
            </w:r>
          </w:p>
        </w:tc>
        <w:tc>
          <w:tcPr/>
          <w:p w:rsidR="00000000" w:rsidDel="00000000" w:rsidP="00000000" w:rsidRDefault="00000000" w:rsidRPr="00000000" w14:paraId="0000001F">
            <w:pPr>
              <w:spacing w:after="0" w:line="360" w:lineRule="auto"/>
              <w:jc w:val="both"/>
              <w:rPr>
                <w:rFonts w:ascii="Times New Roman" w:cs="Times New Roman" w:eastAsia="Times New Roman" w:hAnsi="Times New Roman"/>
                <w:b w:val="1"/>
                <w:sz w:val="24"/>
                <w:szCs w:val="24"/>
              </w:rPr>
            </w:pPr>
            <w:r w:rsidDel="00000000" w:rsidR="00000000" w:rsidRPr="00000000">
              <w:rPr>
                <w:rFonts w:ascii="Wingdings" w:cs="Wingdings" w:eastAsia="Wingdings" w:hAnsi="Wingdings"/>
                <w:b w:val="1"/>
                <w:sz w:val="24"/>
                <w:szCs w:val="24"/>
                <w:rtl w:val="0"/>
              </w:rPr>
              <w:t xml:space="preserve">☺</w:t>
            </w:r>
            <w:r w:rsidDel="00000000" w:rsidR="00000000" w:rsidRPr="00000000">
              <w:rPr>
                <w:rtl w:val="0"/>
              </w:rPr>
            </w:r>
          </w:p>
        </w:tc>
        <w:tc>
          <w:tcPr/>
          <w:p w:rsidR="00000000" w:rsidDel="00000000" w:rsidP="00000000" w:rsidRDefault="00000000" w:rsidRPr="00000000" w14:paraId="00000020">
            <w:pPr>
              <w:spacing w:after="0" w:line="360" w:lineRule="auto"/>
              <w:jc w:val="both"/>
              <w:rPr>
                <w:rFonts w:ascii="Times New Roman" w:cs="Times New Roman" w:eastAsia="Times New Roman" w:hAnsi="Times New Roman"/>
                <w:b w:val="1"/>
                <w:sz w:val="24"/>
                <w:szCs w:val="24"/>
              </w:rPr>
            </w:pPr>
            <w:r w:rsidDel="00000000" w:rsidR="00000000" w:rsidRPr="00000000">
              <w:rPr>
                <w:rFonts w:ascii="Wingdings" w:cs="Wingdings" w:eastAsia="Wingdings" w:hAnsi="Wingdings"/>
                <w:b w:val="1"/>
                <w:sz w:val="24"/>
                <w:szCs w:val="24"/>
                <w:rtl w:val="0"/>
              </w:rPr>
              <w:t xml:space="preserve">☺</w:t>
            </w:r>
            <w:r w:rsidDel="00000000" w:rsidR="00000000" w:rsidRPr="00000000">
              <w:rPr>
                <w:rtl w:val="0"/>
              </w:rPr>
            </w:r>
          </w:p>
        </w:tc>
        <w:tc>
          <w:tcPr/>
          <w:p w:rsidR="00000000" w:rsidDel="00000000" w:rsidP="00000000" w:rsidRDefault="00000000" w:rsidRPr="00000000" w14:paraId="00000021">
            <w:pPr>
              <w:spacing w:after="0" w:line="360" w:lineRule="auto"/>
              <w:jc w:val="both"/>
              <w:rPr>
                <w:rFonts w:ascii="Times New Roman" w:cs="Times New Roman" w:eastAsia="Times New Roman" w:hAnsi="Times New Roman"/>
                <w:b w:val="1"/>
                <w:sz w:val="24"/>
                <w:szCs w:val="24"/>
              </w:rPr>
            </w:pPr>
            <w:r w:rsidDel="00000000" w:rsidR="00000000" w:rsidRPr="00000000">
              <w:rPr>
                <w:rFonts w:ascii="Wingdings" w:cs="Wingdings" w:eastAsia="Wingdings" w:hAnsi="Wingdings"/>
                <w:b w:val="1"/>
                <w:sz w:val="24"/>
                <w:szCs w:val="24"/>
                <w:rtl w:val="0"/>
              </w:rPr>
              <w:t xml:space="preserve">☺</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Wingdings" w:cs="Wingdings" w:eastAsia="Wingdings" w:hAnsi="Wingdings"/>
                <w:b w:val="1"/>
                <w:sz w:val="24"/>
                <w:szCs w:val="24"/>
                <w:rtl w:val="0"/>
              </w:rPr>
              <w:t xml:space="preserve">☺</w:t>
            </w:r>
            <w:r w:rsidDel="00000000" w:rsidR="00000000" w:rsidRPr="00000000">
              <w:rPr>
                <w:rtl w:val="0"/>
              </w:rPr>
            </w:r>
          </w:p>
        </w:tc>
        <w:tc>
          <w:tcPr/>
          <w:p w:rsidR="00000000" w:rsidDel="00000000" w:rsidP="00000000" w:rsidRDefault="00000000" w:rsidRPr="00000000" w14:paraId="00000022">
            <w:pPr>
              <w:spacing w:after="0" w:line="360" w:lineRule="auto"/>
              <w:jc w:val="both"/>
              <w:rPr>
                <w:rFonts w:ascii="Times New Roman" w:cs="Times New Roman" w:eastAsia="Times New Roman" w:hAnsi="Times New Roman"/>
                <w:b w:val="1"/>
                <w:sz w:val="24"/>
                <w:szCs w:val="24"/>
              </w:rPr>
            </w:pPr>
            <w:r w:rsidDel="00000000" w:rsidR="00000000" w:rsidRPr="00000000">
              <w:rPr>
                <w:rFonts w:ascii="Wingdings" w:cs="Wingdings" w:eastAsia="Wingdings" w:hAnsi="Wingdings"/>
                <w:b w:val="1"/>
                <w:sz w:val="24"/>
                <w:szCs w:val="24"/>
                <w:rtl w:val="0"/>
              </w:rPr>
              <w:t xml:space="preserve">☺☺</w:t>
            </w:r>
            <w:r w:rsidDel="00000000" w:rsidR="00000000" w:rsidRPr="00000000">
              <w:rPr>
                <w:rtl w:val="0"/>
              </w:rPr>
            </w:r>
          </w:p>
        </w:tc>
        <w:tc>
          <w:tcPr/>
          <w:p w:rsidR="00000000" w:rsidDel="00000000" w:rsidP="00000000" w:rsidRDefault="00000000" w:rsidRPr="00000000" w14:paraId="00000023">
            <w:pPr>
              <w:spacing w:after="0" w:line="360" w:lineRule="auto"/>
              <w:jc w:val="both"/>
              <w:rPr>
                <w:rFonts w:ascii="Times New Roman" w:cs="Times New Roman" w:eastAsia="Times New Roman" w:hAnsi="Times New Roman"/>
                <w:b w:val="1"/>
                <w:sz w:val="24"/>
                <w:szCs w:val="24"/>
              </w:rPr>
            </w:pPr>
            <w:r w:rsidDel="00000000" w:rsidR="00000000" w:rsidRPr="00000000">
              <w:rPr>
                <w:rFonts w:ascii="Wingdings" w:cs="Wingdings" w:eastAsia="Wingdings" w:hAnsi="Wingdings"/>
                <w:b w:val="1"/>
                <w:sz w:val="24"/>
                <w:szCs w:val="24"/>
                <w:rtl w:val="0"/>
              </w:rPr>
              <w:t xml:space="preserve">☺</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Wingdings" w:cs="Wingdings" w:eastAsia="Wingdings" w:hAnsi="Wingdings"/>
                <w:b w:val="1"/>
                <w:sz w:val="24"/>
                <w:szCs w:val="24"/>
                <w:rtl w:val="0"/>
              </w:rPr>
              <w:t xml:space="preserve">☺</w:t>
            </w:r>
            <w:r w:rsidDel="00000000" w:rsidR="00000000" w:rsidRPr="00000000">
              <w:rPr>
                <w:rtl w:val="0"/>
              </w:rPr>
            </w:r>
          </w:p>
        </w:tc>
      </w:tr>
      <w:tr>
        <w:trPr>
          <w:cantSplit w:val="0"/>
          <w:trHeight w:val="365" w:hRule="atLeast"/>
          <w:tblHeader w:val="0"/>
        </w:trPr>
        <w:tc>
          <w:tcPr/>
          <w:p w:rsidR="00000000" w:rsidDel="00000000" w:rsidP="00000000" w:rsidRDefault="00000000" w:rsidRPr="00000000" w14:paraId="00000024">
            <w:pPr>
              <w:spacing w:after="0" w:line="36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Interdisciplinárna práca</w:t>
            </w:r>
          </w:p>
        </w:tc>
        <w:tc>
          <w:tcPr/>
          <w:p w:rsidR="00000000" w:rsidDel="00000000" w:rsidP="00000000" w:rsidRDefault="00000000" w:rsidRPr="00000000" w14:paraId="00000025">
            <w:pPr>
              <w:spacing w:after="0" w:line="360" w:lineRule="auto"/>
              <w:jc w:val="both"/>
              <w:rPr>
                <w:rFonts w:ascii="Times New Roman" w:cs="Times New Roman" w:eastAsia="Times New Roman" w:hAnsi="Times New Roman"/>
                <w:b w:val="1"/>
                <w:sz w:val="24"/>
                <w:szCs w:val="24"/>
              </w:rPr>
            </w:pPr>
            <w:r w:rsidDel="00000000" w:rsidR="00000000" w:rsidRPr="00000000">
              <w:rPr>
                <w:rFonts w:ascii="Wingdings" w:cs="Wingdings" w:eastAsia="Wingdings" w:hAnsi="Wingdings"/>
                <w:b w:val="1"/>
                <w:sz w:val="24"/>
                <w:szCs w:val="24"/>
                <w:rtl w:val="0"/>
              </w:rPr>
              <w:t xml:space="preserve">☺</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Wingdings" w:cs="Wingdings" w:eastAsia="Wingdings" w:hAnsi="Wingdings"/>
                <w:b w:val="1"/>
                <w:sz w:val="24"/>
                <w:szCs w:val="24"/>
                <w:rtl w:val="0"/>
              </w:rPr>
              <w:t xml:space="preserve">☺</w:t>
            </w:r>
            <w:r w:rsidDel="00000000" w:rsidR="00000000" w:rsidRPr="00000000">
              <w:rPr>
                <w:rtl w:val="0"/>
              </w:rPr>
            </w:r>
          </w:p>
        </w:tc>
        <w:tc>
          <w:tcPr/>
          <w:p w:rsidR="00000000" w:rsidDel="00000000" w:rsidP="00000000" w:rsidRDefault="00000000" w:rsidRPr="00000000" w14:paraId="00000026">
            <w:pPr>
              <w:spacing w:after="0" w:line="360" w:lineRule="auto"/>
              <w:jc w:val="both"/>
              <w:rPr>
                <w:rFonts w:ascii="Times New Roman" w:cs="Times New Roman" w:eastAsia="Times New Roman" w:hAnsi="Times New Roman"/>
                <w:b w:val="1"/>
                <w:sz w:val="24"/>
                <w:szCs w:val="24"/>
              </w:rPr>
            </w:pPr>
            <w:r w:rsidDel="00000000" w:rsidR="00000000" w:rsidRPr="00000000">
              <w:rPr>
                <w:rFonts w:ascii="Wingdings" w:cs="Wingdings" w:eastAsia="Wingdings" w:hAnsi="Wingdings"/>
                <w:b w:val="1"/>
                <w:sz w:val="24"/>
                <w:szCs w:val="24"/>
                <w:rtl w:val="0"/>
              </w:rPr>
              <w:t xml:space="preserve">☺</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Wingdings" w:cs="Wingdings" w:eastAsia="Wingdings" w:hAnsi="Wingdings"/>
                <w:b w:val="1"/>
                <w:sz w:val="24"/>
                <w:szCs w:val="24"/>
                <w:rtl w:val="0"/>
              </w:rPr>
              <w:t xml:space="preserve">☺</w:t>
            </w:r>
            <w:r w:rsidDel="00000000" w:rsidR="00000000" w:rsidRPr="00000000">
              <w:rPr>
                <w:rtl w:val="0"/>
              </w:rPr>
            </w:r>
          </w:p>
        </w:tc>
        <w:tc>
          <w:tcPr/>
          <w:p w:rsidR="00000000" w:rsidDel="00000000" w:rsidP="00000000" w:rsidRDefault="00000000" w:rsidRPr="00000000" w14:paraId="00000027">
            <w:pPr>
              <w:spacing w:after="0" w:line="360" w:lineRule="auto"/>
              <w:jc w:val="both"/>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028">
            <w:pPr>
              <w:spacing w:after="0" w:line="360" w:lineRule="auto"/>
              <w:jc w:val="both"/>
              <w:rPr>
                <w:rFonts w:ascii="Times New Roman" w:cs="Times New Roman" w:eastAsia="Times New Roman" w:hAnsi="Times New Roman"/>
                <w:b w:val="1"/>
                <w:sz w:val="24"/>
                <w:szCs w:val="24"/>
              </w:rPr>
            </w:pPr>
            <w:r w:rsidDel="00000000" w:rsidR="00000000" w:rsidRPr="00000000">
              <w:rPr>
                <w:rFonts w:ascii="Wingdings" w:cs="Wingdings" w:eastAsia="Wingdings" w:hAnsi="Wingdings"/>
                <w:b w:val="1"/>
                <w:sz w:val="24"/>
                <w:szCs w:val="24"/>
                <w:rtl w:val="0"/>
              </w:rPr>
              <w:t xml:space="preserve">☺</w:t>
            </w:r>
            <w:r w:rsidDel="00000000" w:rsidR="00000000" w:rsidRPr="00000000">
              <w:rPr>
                <w:rtl w:val="0"/>
              </w:rPr>
            </w:r>
          </w:p>
        </w:tc>
        <w:tc>
          <w:tcPr/>
          <w:p w:rsidR="00000000" w:rsidDel="00000000" w:rsidP="00000000" w:rsidRDefault="00000000" w:rsidRPr="00000000" w14:paraId="00000029">
            <w:pPr>
              <w:spacing w:after="0" w:line="360" w:lineRule="auto"/>
              <w:jc w:val="both"/>
              <w:rPr>
                <w:rFonts w:ascii="Times New Roman" w:cs="Times New Roman" w:eastAsia="Times New Roman" w:hAnsi="Times New Roman"/>
                <w:b w:val="1"/>
                <w:sz w:val="24"/>
                <w:szCs w:val="24"/>
              </w:rPr>
            </w:pPr>
            <w:r w:rsidDel="00000000" w:rsidR="00000000" w:rsidRPr="00000000">
              <w:rPr>
                <w:rFonts w:ascii="Wingdings" w:cs="Wingdings" w:eastAsia="Wingdings" w:hAnsi="Wingdings"/>
                <w:b w:val="1"/>
                <w:sz w:val="24"/>
                <w:szCs w:val="24"/>
                <w:rtl w:val="0"/>
              </w:rPr>
              <w:t xml:space="preserve">☺</w:t>
            </w:r>
            <w:r w:rsidDel="00000000" w:rsidR="00000000" w:rsidRPr="00000000">
              <w:rPr>
                <w:rtl w:val="0"/>
              </w:rPr>
            </w:r>
          </w:p>
        </w:tc>
        <w:tc>
          <w:tcPr/>
          <w:p w:rsidR="00000000" w:rsidDel="00000000" w:rsidP="00000000" w:rsidRDefault="00000000" w:rsidRPr="00000000" w14:paraId="0000002A">
            <w:pPr>
              <w:spacing w:after="0" w:line="360" w:lineRule="auto"/>
              <w:jc w:val="both"/>
              <w:rPr>
                <w:rFonts w:ascii="Times New Roman" w:cs="Times New Roman" w:eastAsia="Times New Roman" w:hAnsi="Times New Roman"/>
                <w:b w:val="1"/>
                <w:sz w:val="24"/>
                <w:szCs w:val="24"/>
              </w:rPr>
            </w:pPr>
            <w:r w:rsidDel="00000000" w:rsidR="00000000" w:rsidRPr="00000000">
              <w:rPr>
                <w:rFonts w:ascii="Wingdings" w:cs="Wingdings" w:eastAsia="Wingdings" w:hAnsi="Wingdings"/>
                <w:b w:val="1"/>
                <w:sz w:val="24"/>
                <w:szCs w:val="24"/>
                <w:rtl w:val="0"/>
              </w:rPr>
              <w:t xml:space="preserve">☺</w:t>
            </w:r>
            <w:r w:rsidDel="00000000" w:rsidR="00000000" w:rsidRPr="00000000">
              <w:rPr>
                <w:rtl w:val="0"/>
              </w:rPr>
            </w:r>
          </w:p>
        </w:tc>
      </w:tr>
      <w:tr>
        <w:trPr>
          <w:cantSplit w:val="0"/>
          <w:trHeight w:val="365" w:hRule="atLeast"/>
          <w:tblHeader w:val="0"/>
        </w:trPr>
        <w:tc>
          <w:tcPr/>
          <w:p w:rsidR="00000000" w:rsidDel="00000000" w:rsidP="00000000" w:rsidRDefault="00000000" w:rsidRPr="00000000" w14:paraId="0000002B">
            <w:pPr>
              <w:spacing w:after="0" w:line="36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Prediktívne myslenie</w:t>
            </w:r>
          </w:p>
        </w:tc>
        <w:tc>
          <w:tcPr/>
          <w:p w:rsidR="00000000" w:rsidDel="00000000" w:rsidP="00000000" w:rsidRDefault="00000000" w:rsidRPr="00000000" w14:paraId="0000002C">
            <w:pPr>
              <w:spacing w:after="0" w:line="360" w:lineRule="auto"/>
              <w:jc w:val="both"/>
              <w:rPr>
                <w:rFonts w:ascii="Times New Roman" w:cs="Times New Roman" w:eastAsia="Times New Roman" w:hAnsi="Times New Roman"/>
                <w:b w:val="1"/>
                <w:sz w:val="24"/>
                <w:szCs w:val="24"/>
              </w:rPr>
            </w:pPr>
            <w:r w:rsidDel="00000000" w:rsidR="00000000" w:rsidRPr="00000000">
              <w:rPr>
                <w:rFonts w:ascii="Wingdings" w:cs="Wingdings" w:eastAsia="Wingdings" w:hAnsi="Wingdings"/>
                <w:b w:val="1"/>
                <w:sz w:val="24"/>
                <w:szCs w:val="24"/>
                <w:rtl w:val="0"/>
              </w:rPr>
              <w:t xml:space="preserve">☺</w:t>
            </w:r>
            <w:r w:rsidDel="00000000" w:rsidR="00000000" w:rsidRPr="00000000">
              <w:rPr>
                <w:rtl w:val="0"/>
              </w:rPr>
            </w:r>
          </w:p>
        </w:tc>
        <w:tc>
          <w:tcPr/>
          <w:p w:rsidR="00000000" w:rsidDel="00000000" w:rsidP="00000000" w:rsidRDefault="00000000" w:rsidRPr="00000000" w14:paraId="0000002D">
            <w:pPr>
              <w:spacing w:after="0" w:line="360" w:lineRule="auto"/>
              <w:jc w:val="both"/>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02E">
            <w:pPr>
              <w:spacing w:after="0" w:line="360" w:lineRule="auto"/>
              <w:jc w:val="both"/>
              <w:rPr>
                <w:rFonts w:ascii="Times New Roman" w:cs="Times New Roman" w:eastAsia="Times New Roman" w:hAnsi="Times New Roman"/>
                <w:b w:val="1"/>
                <w:sz w:val="24"/>
                <w:szCs w:val="24"/>
              </w:rPr>
            </w:pPr>
            <w:r w:rsidDel="00000000" w:rsidR="00000000" w:rsidRPr="00000000">
              <w:rPr>
                <w:rFonts w:ascii="Wingdings" w:cs="Wingdings" w:eastAsia="Wingdings" w:hAnsi="Wingdings"/>
                <w:b w:val="1"/>
                <w:sz w:val="24"/>
                <w:szCs w:val="24"/>
                <w:rtl w:val="0"/>
              </w:rPr>
              <w:t xml:space="preserve">☺</w:t>
            </w:r>
            <w:r w:rsidDel="00000000" w:rsidR="00000000" w:rsidRPr="00000000">
              <w:rPr>
                <w:rtl w:val="0"/>
              </w:rPr>
            </w:r>
          </w:p>
        </w:tc>
        <w:tc>
          <w:tcPr/>
          <w:p w:rsidR="00000000" w:rsidDel="00000000" w:rsidP="00000000" w:rsidRDefault="00000000" w:rsidRPr="00000000" w14:paraId="0000002F">
            <w:pPr>
              <w:spacing w:after="0" w:line="360" w:lineRule="auto"/>
              <w:jc w:val="both"/>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030">
            <w:pPr>
              <w:spacing w:after="0" w:line="360" w:lineRule="auto"/>
              <w:jc w:val="both"/>
              <w:rPr>
                <w:rFonts w:ascii="Times New Roman" w:cs="Times New Roman" w:eastAsia="Times New Roman" w:hAnsi="Times New Roman"/>
                <w:b w:val="1"/>
                <w:sz w:val="24"/>
                <w:szCs w:val="24"/>
              </w:rPr>
            </w:pPr>
            <w:r w:rsidDel="00000000" w:rsidR="00000000" w:rsidRPr="00000000">
              <w:rPr>
                <w:rFonts w:ascii="Wingdings" w:cs="Wingdings" w:eastAsia="Wingdings" w:hAnsi="Wingdings"/>
                <w:b w:val="1"/>
                <w:sz w:val="24"/>
                <w:szCs w:val="24"/>
                <w:rtl w:val="0"/>
              </w:rPr>
              <w:t xml:space="preserve">☺</w:t>
            </w:r>
            <w:r w:rsidDel="00000000" w:rsidR="00000000" w:rsidRPr="00000000">
              <w:rPr>
                <w:rtl w:val="0"/>
              </w:rPr>
            </w:r>
          </w:p>
        </w:tc>
        <w:tc>
          <w:tcPr/>
          <w:p w:rsidR="00000000" w:rsidDel="00000000" w:rsidP="00000000" w:rsidRDefault="00000000" w:rsidRPr="00000000" w14:paraId="00000031">
            <w:pPr>
              <w:spacing w:after="0" w:line="360" w:lineRule="auto"/>
              <w:jc w:val="both"/>
              <w:rPr>
                <w:rFonts w:ascii="Times New Roman" w:cs="Times New Roman" w:eastAsia="Times New Roman" w:hAnsi="Times New Roman"/>
                <w:b w:val="1"/>
                <w:sz w:val="24"/>
                <w:szCs w:val="24"/>
              </w:rPr>
            </w:pPr>
            <w:r w:rsidDel="00000000" w:rsidR="00000000" w:rsidRPr="00000000">
              <w:rPr>
                <w:rtl w:val="0"/>
              </w:rPr>
            </w:r>
          </w:p>
        </w:tc>
      </w:tr>
      <w:tr>
        <w:trPr>
          <w:cantSplit w:val="0"/>
          <w:trHeight w:val="383" w:hRule="atLeast"/>
          <w:tblHeader w:val="0"/>
        </w:trPr>
        <w:tc>
          <w:tcPr/>
          <w:p w:rsidR="00000000" w:rsidDel="00000000" w:rsidP="00000000" w:rsidRDefault="00000000" w:rsidRPr="00000000" w14:paraId="00000032">
            <w:pPr>
              <w:spacing w:after="0" w:line="36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Spravodlivosť, zodpovednosť a etika</w:t>
            </w:r>
          </w:p>
        </w:tc>
        <w:tc>
          <w:tcPr/>
          <w:p w:rsidR="00000000" w:rsidDel="00000000" w:rsidP="00000000" w:rsidRDefault="00000000" w:rsidRPr="00000000" w14:paraId="00000033">
            <w:pPr>
              <w:spacing w:after="0" w:line="360" w:lineRule="auto"/>
              <w:jc w:val="both"/>
              <w:rPr>
                <w:rFonts w:ascii="Times New Roman" w:cs="Times New Roman" w:eastAsia="Times New Roman" w:hAnsi="Times New Roman"/>
                <w:b w:val="1"/>
                <w:sz w:val="24"/>
                <w:szCs w:val="24"/>
              </w:rPr>
            </w:pPr>
            <w:r w:rsidDel="00000000" w:rsidR="00000000" w:rsidRPr="00000000">
              <w:rPr>
                <w:rFonts w:ascii="Wingdings" w:cs="Wingdings" w:eastAsia="Wingdings" w:hAnsi="Wingdings"/>
                <w:b w:val="1"/>
                <w:sz w:val="24"/>
                <w:szCs w:val="24"/>
                <w:rtl w:val="0"/>
              </w:rPr>
              <w:t xml:space="preserve">☺</w:t>
            </w:r>
            <w:r w:rsidDel="00000000" w:rsidR="00000000" w:rsidRPr="00000000">
              <w:rPr>
                <w:rtl w:val="0"/>
              </w:rPr>
            </w:r>
          </w:p>
        </w:tc>
        <w:tc>
          <w:tcPr/>
          <w:p w:rsidR="00000000" w:rsidDel="00000000" w:rsidP="00000000" w:rsidRDefault="00000000" w:rsidRPr="00000000" w14:paraId="00000034">
            <w:pPr>
              <w:spacing w:after="0" w:line="360" w:lineRule="auto"/>
              <w:jc w:val="both"/>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035">
            <w:pPr>
              <w:spacing w:after="0" w:line="360" w:lineRule="auto"/>
              <w:jc w:val="both"/>
              <w:rPr>
                <w:rFonts w:ascii="Times New Roman" w:cs="Times New Roman" w:eastAsia="Times New Roman" w:hAnsi="Times New Roman"/>
                <w:b w:val="1"/>
                <w:sz w:val="24"/>
                <w:szCs w:val="24"/>
              </w:rPr>
            </w:pPr>
            <w:r w:rsidDel="00000000" w:rsidR="00000000" w:rsidRPr="00000000">
              <w:rPr>
                <w:rFonts w:ascii="Wingdings" w:cs="Wingdings" w:eastAsia="Wingdings" w:hAnsi="Wingdings"/>
                <w:b w:val="1"/>
                <w:sz w:val="24"/>
                <w:szCs w:val="24"/>
                <w:rtl w:val="0"/>
              </w:rPr>
              <w:t xml:space="preserve">☺</w:t>
            </w:r>
            <w:r w:rsidDel="00000000" w:rsidR="00000000" w:rsidRPr="00000000">
              <w:rPr>
                <w:rtl w:val="0"/>
              </w:rPr>
            </w:r>
          </w:p>
        </w:tc>
        <w:tc>
          <w:tcPr/>
          <w:p w:rsidR="00000000" w:rsidDel="00000000" w:rsidP="00000000" w:rsidRDefault="00000000" w:rsidRPr="00000000" w14:paraId="00000036">
            <w:pPr>
              <w:spacing w:after="0" w:line="360" w:lineRule="auto"/>
              <w:jc w:val="both"/>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037">
            <w:pPr>
              <w:spacing w:after="0" w:line="360" w:lineRule="auto"/>
              <w:jc w:val="both"/>
              <w:rPr>
                <w:rFonts w:ascii="Times New Roman" w:cs="Times New Roman" w:eastAsia="Times New Roman" w:hAnsi="Times New Roman"/>
                <w:b w:val="1"/>
                <w:sz w:val="24"/>
                <w:szCs w:val="24"/>
              </w:rPr>
            </w:pPr>
            <w:r w:rsidDel="00000000" w:rsidR="00000000" w:rsidRPr="00000000">
              <w:rPr>
                <w:rFonts w:ascii="Wingdings" w:cs="Wingdings" w:eastAsia="Wingdings" w:hAnsi="Wingdings"/>
                <w:b w:val="1"/>
                <w:sz w:val="24"/>
                <w:szCs w:val="24"/>
                <w:rtl w:val="0"/>
              </w:rPr>
              <w:t xml:space="preserve">☺</w:t>
            </w:r>
            <w:r w:rsidDel="00000000" w:rsidR="00000000" w:rsidRPr="00000000">
              <w:rPr>
                <w:rtl w:val="0"/>
              </w:rPr>
            </w:r>
          </w:p>
        </w:tc>
        <w:tc>
          <w:tcPr/>
          <w:p w:rsidR="00000000" w:rsidDel="00000000" w:rsidP="00000000" w:rsidRDefault="00000000" w:rsidRPr="00000000" w14:paraId="00000038">
            <w:pPr>
              <w:spacing w:after="0" w:line="360" w:lineRule="auto"/>
              <w:jc w:val="both"/>
              <w:rPr>
                <w:rFonts w:ascii="Times New Roman" w:cs="Times New Roman" w:eastAsia="Times New Roman" w:hAnsi="Times New Roman"/>
                <w:b w:val="1"/>
                <w:sz w:val="24"/>
                <w:szCs w:val="24"/>
              </w:rPr>
            </w:pPr>
            <w:r w:rsidDel="00000000" w:rsidR="00000000" w:rsidRPr="00000000">
              <w:rPr>
                <w:rFonts w:ascii="Wingdings" w:cs="Wingdings" w:eastAsia="Wingdings" w:hAnsi="Wingdings"/>
                <w:b w:val="1"/>
                <w:sz w:val="24"/>
                <w:szCs w:val="24"/>
                <w:rtl w:val="0"/>
              </w:rPr>
              <w:t xml:space="preserve">☺</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Wingdings" w:cs="Wingdings" w:eastAsia="Wingdings" w:hAnsi="Wingdings"/>
                <w:b w:val="1"/>
                <w:sz w:val="24"/>
                <w:szCs w:val="24"/>
                <w:rtl w:val="0"/>
              </w:rPr>
              <w:t xml:space="preserve">☺</w:t>
            </w:r>
            <w:r w:rsidDel="00000000" w:rsidR="00000000" w:rsidRPr="00000000">
              <w:rPr>
                <w:rtl w:val="0"/>
              </w:rPr>
            </w:r>
          </w:p>
        </w:tc>
      </w:tr>
      <w:tr>
        <w:trPr>
          <w:cantSplit w:val="0"/>
          <w:trHeight w:val="383" w:hRule="atLeast"/>
          <w:tblHeader w:val="0"/>
        </w:trPr>
        <w:tc>
          <w:tcPr/>
          <w:p w:rsidR="00000000" w:rsidDel="00000000" w:rsidP="00000000" w:rsidRDefault="00000000" w:rsidRPr="00000000" w14:paraId="00000039">
            <w:pPr>
              <w:spacing w:after="0" w:line="36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Kritické a analytické myslenie</w:t>
            </w:r>
          </w:p>
        </w:tc>
        <w:tc>
          <w:tcPr/>
          <w:p w:rsidR="00000000" w:rsidDel="00000000" w:rsidP="00000000" w:rsidRDefault="00000000" w:rsidRPr="00000000" w14:paraId="0000003A">
            <w:pPr>
              <w:spacing w:after="0" w:line="360" w:lineRule="auto"/>
              <w:jc w:val="both"/>
              <w:rPr>
                <w:rFonts w:ascii="Times New Roman" w:cs="Times New Roman" w:eastAsia="Times New Roman" w:hAnsi="Times New Roman"/>
                <w:b w:val="1"/>
                <w:sz w:val="24"/>
                <w:szCs w:val="24"/>
              </w:rPr>
            </w:pPr>
            <w:r w:rsidDel="00000000" w:rsidR="00000000" w:rsidRPr="00000000">
              <w:rPr>
                <w:rFonts w:ascii="Wingdings" w:cs="Wingdings" w:eastAsia="Wingdings" w:hAnsi="Wingdings"/>
                <w:b w:val="1"/>
                <w:sz w:val="24"/>
                <w:szCs w:val="24"/>
                <w:rtl w:val="0"/>
              </w:rPr>
              <w:t xml:space="preserve">☺</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Wingdings" w:cs="Wingdings" w:eastAsia="Wingdings" w:hAnsi="Wingdings"/>
                <w:b w:val="1"/>
                <w:sz w:val="24"/>
                <w:szCs w:val="24"/>
                <w:rtl w:val="0"/>
              </w:rPr>
              <w:t xml:space="preserve">☺</w:t>
            </w:r>
            <w:r w:rsidDel="00000000" w:rsidR="00000000" w:rsidRPr="00000000">
              <w:rPr>
                <w:rtl w:val="0"/>
              </w:rPr>
            </w:r>
          </w:p>
        </w:tc>
        <w:tc>
          <w:tcPr/>
          <w:p w:rsidR="00000000" w:rsidDel="00000000" w:rsidP="00000000" w:rsidRDefault="00000000" w:rsidRPr="00000000" w14:paraId="0000003B">
            <w:pPr>
              <w:spacing w:after="0" w:line="360" w:lineRule="auto"/>
              <w:jc w:val="both"/>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03C">
            <w:pPr>
              <w:spacing w:after="0" w:line="360" w:lineRule="auto"/>
              <w:jc w:val="both"/>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03D">
            <w:pPr>
              <w:spacing w:after="0" w:line="360" w:lineRule="auto"/>
              <w:jc w:val="both"/>
              <w:rPr>
                <w:rFonts w:ascii="Times New Roman" w:cs="Times New Roman" w:eastAsia="Times New Roman" w:hAnsi="Times New Roman"/>
                <w:b w:val="1"/>
                <w:sz w:val="24"/>
                <w:szCs w:val="24"/>
              </w:rPr>
            </w:pPr>
            <w:r w:rsidDel="00000000" w:rsidR="00000000" w:rsidRPr="00000000">
              <w:rPr>
                <w:rFonts w:ascii="Wingdings" w:cs="Wingdings" w:eastAsia="Wingdings" w:hAnsi="Wingdings"/>
                <w:b w:val="1"/>
                <w:sz w:val="24"/>
                <w:szCs w:val="24"/>
                <w:rtl w:val="0"/>
              </w:rPr>
              <w:t xml:space="preserve">☺</w:t>
            </w:r>
            <w:r w:rsidDel="00000000" w:rsidR="00000000" w:rsidRPr="00000000">
              <w:rPr>
                <w:rtl w:val="0"/>
              </w:rPr>
            </w:r>
          </w:p>
        </w:tc>
        <w:tc>
          <w:tcPr/>
          <w:p w:rsidR="00000000" w:rsidDel="00000000" w:rsidP="00000000" w:rsidRDefault="00000000" w:rsidRPr="00000000" w14:paraId="0000003E">
            <w:pPr>
              <w:spacing w:after="0" w:line="360" w:lineRule="auto"/>
              <w:jc w:val="both"/>
              <w:rPr>
                <w:rFonts w:ascii="Times New Roman" w:cs="Times New Roman" w:eastAsia="Times New Roman" w:hAnsi="Times New Roman"/>
                <w:b w:val="1"/>
                <w:sz w:val="24"/>
                <w:szCs w:val="24"/>
              </w:rPr>
            </w:pPr>
            <w:r w:rsidDel="00000000" w:rsidR="00000000" w:rsidRPr="00000000">
              <w:rPr>
                <w:rFonts w:ascii="Wingdings" w:cs="Wingdings" w:eastAsia="Wingdings" w:hAnsi="Wingdings"/>
                <w:b w:val="1"/>
                <w:sz w:val="24"/>
                <w:szCs w:val="24"/>
                <w:rtl w:val="0"/>
              </w:rPr>
              <w:t xml:space="preserve">☺</w:t>
            </w:r>
            <w:r w:rsidDel="00000000" w:rsidR="00000000" w:rsidRPr="00000000">
              <w:rPr>
                <w:rtl w:val="0"/>
              </w:rPr>
            </w:r>
          </w:p>
        </w:tc>
        <w:tc>
          <w:tcPr/>
          <w:p w:rsidR="00000000" w:rsidDel="00000000" w:rsidP="00000000" w:rsidRDefault="00000000" w:rsidRPr="00000000" w14:paraId="0000003F">
            <w:pPr>
              <w:spacing w:after="0" w:line="360" w:lineRule="auto"/>
              <w:jc w:val="both"/>
              <w:rPr>
                <w:rFonts w:ascii="Times New Roman" w:cs="Times New Roman" w:eastAsia="Times New Roman" w:hAnsi="Times New Roman"/>
                <w:b w:val="1"/>
                <w:sz w:val="24"/>
                <w:szCs w:val="24"/>
              </w:rPr>
            </w:pPr>
            <w:r w:rsidDel="00000000" w:rsidR="00000000" w:rsidRPr="00000000">
              <w:rPr>
                <w:rFonts w:ascii="Wingdings" w:cs="Wingdings" w:eastAsia="Wingdings" w:hAnsi="Wingdings"/>
                <w:b w:val="1"/>
                <w:sz w:val="24"/>
                <w:szCs w:val="24"/>
                <w:rtl w:val="0"/>
              </w:rPr>
              <w:t xml:space="preserve">☺</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Wingdings" w:cs="Wingdings" w:eastAsia="Wingdings" w:hAnsi="Wingdings"/>
                <w:b w:val="1"/>
                <w:sz w:val="24"/>
                <w:szCs w:val="24"/>
                <w:rtl w:val="0"/>
              </w:rPr>
              <w:t xml:space="preserve">☺</w:t>
            </w:r>
            <w:r w:rsidDel="00000000" w:rsidR="00000000" w:rsidRPr="00000000">
              <w:rPr>
                <w:rtl w:val="0"/>
              </w:rPr>
            </w:r>
          </w:p>
        </w:tc>
      </w:tr>
      <w:tr>
        <w:trPr>
          <w:cantSplit w:val="0"/>
          <w:trHeight w:val="365" w:hRule="atLeast"/>
          <w:tblHeader w:val="0"/>
        </w:trPr>
        <w:tc>
          <w:tcPr/>
          <w:p w:rsidR="00000000" w:rsidDel="00000000" w:rsidP="00000000" w:rsidRDefault="00000000" w:rsidRPr="00000000" w14:paraId="00000040">
            <w:pPr>
              <w:spacing w:after="0" w:line="36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Medziľudské vzťahy a spolupráca</w:t>
            </w:r>
          </w:p>
        </w:tc>
        <w:tc>
          <w:tcPr/>
          <w:p w:rsidR="00000000" w:rsidDel="00000000" w:rsidP="00000000" w:rsidRDefault="00000000" w:rsidRPr="00000000" w14:paraId="00000041">
            <w:pPr>
              <w:spacing w:after="0" w:line="360" w:lineRule="auto"/>
              <w:jc w:val="both"/>
              <w:rPr>
                <w:rFonts w:ascii="Times New Roman" w:cs="Times New Roman" w:eastAsia="Times New Roman" w:hAnsi="Times New Roman"/>
                <w:b w:val="1"/>
                <w:sz w:val="24"/>
                <w:szCs w:val="24"/>
              </w:rPr>
            </w:pPr>
            <w:r w:rsidDel="00000000" w:rsidR="00000000" w:rsidRPr="00000000">
              <w:rPr>
                <w:rFonts w:ascii="Wingdings" w:cs="Wingdings" w:eastAsia="Wingdings" w:hAnsi="Wingdings"/>
                <w:b w:val="1"/>
                <w:sz w:val="24"/>
                <w:szCs w:val="24"/>
                <w:rtl w:val="0"/>
              </w:rPr>
              <w:t xml:space="preserve">☺</w:t>
            </w:r>
            <w:r w:rsidDel="00000000" w:rsidR="00000000" w:rsidRPr="00000000">
              <w:rPr>
                <w:rtl w:val="0"/>
              </w:rPr>
            </w:r>
          </w:p>
        </w:tc>
        <w:tc>
          <w:tcPr/>
          <w:p w:rsidR="00000000" w:rsidDel="00000000" w:rsidP="00000000" w:rsidRDefault="00000000" w:rsidRPr="00000000" w14:paraId="00000042">
            <w:pPr>
              <w:spacing w:after="0" w:line="360" w:lineRule="auto"/>
              <w:jc w:val="both"/>
              <w:rPr>
                <w:rFonts w:ascii="Times New Roman" w:cs="Times New Roman" w:eastAsia="Times New Roman" w:hAnsi="Times New Roman"/>
                <w:b w:val="1"/>
                <w:sz w:val="24"/>
                <w:szCs w:val="24"/>
              </w:rPr>
            </w:pPr>
            <w:r w:rsidDel="00000000" w:rsidR="00000000" w:rsidRPr="00000000">
              <w:rPr>
                <w:rFonts w:ascii="Wingdings" w:cs="Wingdings" w:eastAsia="Wingdings" w:hAnsi="Wingdings"/>
                <w:b w:val="1"/>
                <w:sz w:val="24"/>
                <w:szCs w:val="24"/>
                <w:rtl w:val="0"/>
              </w:rPr>
              <w:t xml:space="preserve">☺</w:t>
            </w:r>
            <w:r w:rsidDel="00000000" w:rsidR="00000000" w:rsidRPr="00000000">
              <w:rPr>
                <w:rtl w:val="0"/>
              </w:rPr>
            </w:r>
          </w:p>
        </w:tc>
        <w:tc>
          <w:tcPr/>
          <w:p w:rsidR="00000000" w:rsidDel="00000000" w:rsidP="00000000" w:rsidRDefault="00000000" w:rsidRPr="00000000" w14:paraId="00000043">
            <w:pPr>
              <w:spacing w:after="0" w:line="360" w:lineRule="auto"/>
              <w:jc w:val="both"/>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044">
            <w:pPr>
              <w:spacing w:after="0" w:line="360" w:lineRule="auto"/>
              <w:jc w:val="both"/>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045">
            <w:pPr>
              <w:spacing w:after="0" w:line="360" w:lineRule="auto"/>
              <w:jc w:val="both"/>
              <w:rPr>
                <w:rFonts w:ascii="Times New Roman" w:cs="Times New Roman" w:eastAsia="Times New Roman" w:hAnsi="Times New Roman"/>
                <w:b w:val="1"/>
                <w:sz w:val="24"/>
                <w:szCs w:val="24"/>
              </w:rPr>
            </w:pPr>
            <w:r w:rsidDel="00000000" w:rsidR="00000000" w:rsidRPr="00000000">
              <w:rPr>
                <w:rFonts w:ascii="Wingdings" w:cs="Wingdings" w:eastAsia="Wingdings" w:hAnsi="Wingdings"/>
                <w:b w:val="1"/>
                <w:sz w:val="24"/>
                <w:szCs w:val="24"/>
                <w:rtl w:val="0"/>
              </w:rPr>
              <w:t xml:space="preserve">☺</w:t>
            </w:r>
            <w:r w:rsidDel="00000000" w:rsidR="00000000" w:rsidRPr="00000000">
              <w:rPr>
                <w:rtl w:val="0"/>
              </w:rPr>
            </w:r>
          </w:p>
        </w:tc>
        <w:tc>
          <w:tcPr/>
          <w:p w:rsidR="00000000" w:rsidDel="00000000" w:rsidP="00000000" w:rsidRDefault="00000000" w:rsidRPr="00000000" w14:paraId="00000046">
            <w:pPr>
              <w:spacing w:after="0" w:line="360" w:lineRule="auto"/>
              <w:jc w:val="both"/>
              <w:rPr>
                <w:rFonts w:ascii="Times New Roman" w:cs="Times New Roman" w:eastAsia="Times New Roman" w:hAnsi="Times New Roman"/>
                <w:b w:val="1"/>
                <w:sz w:val="24"/>
                <w:szCs w:val="24"/>
              </w:rPr>
            </w:pPr>
            <w:r w:rsidDel="00000000" w:rsidR="00000000" w:rsidRPr="00000000">
              <w:rPr>
                <w:rFonts w:ascii="Wingdings" w:cs="Wingdings" w:eastAsia="Wingdings" w:hAnsi="Wingdings"/>
                <w:b w:val="1"/>
                <w:sz w:val="24"/>
                <w:szCs w:val="24"/>
                <w:rtl w:val="0"/>
              </w:rPr>
              <w:t xml:space="preserve">☺</w:t>
            </w:r>
            <w:r w:rsidDel="00000000" w:rsidR="00000000" w:rsidRPr="00000000">
              <w:rPr>
                <w:rtl w:val="0"/>
              </w:rPr>
            </w:r>
          </w:p>
        </w:tc>
      </w:tr>
      <w:tr>
        <w:trPr>
          <w:cantSplit w:val="0"/>
          <w:trHeight w:val="403" w:hRule="atLeast"/>
          <w:tblHeader w:val="0"/>
        </w:trPr>
        <w:tc>
          <w:tcPr/>
          <w:p w:rsidR="00000000" w:rsidDel="00000000" w:rsidP="00000000" w:rsidRDefault="00000000" w:rsidRPr="00000000" w14:paraId="00000047">
            <w:pPr>
              <w:spacing w:after="0" w:line="36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Empatia a pohľad z pohľadu inej osoby</w:t>
            </w:r>
          </w:p>
        </w:tc>
        <w:tc>
          <w:tcPr/>
          <w:p w:rsidR="00000000" w:rsidDel="00000000" w:rsidP="00000000" w:rsidRDefault="00000000" w:rsidRPr="00000000" w14:paraId="00000048">
            <w:pPr>
              <w:spacing w:after="0" w:line="360" w:lineRule="auto"/>
              <w:jc w:val="both"/>
              <w:rPr>
                <w:rFonts w:ascii="Times New Roman" w:cs="Times New Roman" w:eastAsia="Times New Roman" w:hAnsi="Times New Roman"/>
                <w:b w:val="1"/>
                <w:sz w:val="24"/>
                <w:szCs w:val="24"/>
              </w:rPr>
            </w:pPr>
            <w:r w:rsidDel="00000000" w:rsidR="00000000" w:rsidRPr="00000000">
              <w:rPr>
                <w:rFonts w:ascii="Wingdings" w:cs="Wingdings" w:eastAsia="Wingdings" w:hAnsi="Wingdings"/>
                <w:b w:val="1"/>
                <w:sz w:val="24"/>
                <w:szCs w:val="24"/>
                <w:rtl w:val="0"/>
              </w:rPr>
              <w:t xml:space="preserve">☺</w:t>
            </w:r>
            <w:r w:rsidDel="00000000" w:rsidR="00000000" w:rsidRPr="00000000">
              <w:rPr>
                <w:rtl w:val="0"/>
              </w:rPr>
            </w:r>
          </w:p>
        </w:tc>
        <w:tc>
          <w:tcPr/>
          <w:p w:rsidR="00000000" w:rsidDel="00000000" w:rsidP="00000000" w:rsidRDefault="00000000" w:rsidRPr="00000000" w14:paraId="00000049">
            <w:pPr>
              <w:spacing w:after="0" w:line="360" w:lineRule="auto"/>
              <w:jc w:val="both"/>
              <w:rPr>
                <w:rFonts w:ascii="Times New Roman" w:cs="Times New Roman" w:eastAsia="Times New Roman" w:hAnsi="Times New Roman"/>
                <w:b w:val="1"/>
                <w:sz w:val="24"/>
                <w:szCs w:val="24"/>
              </w:rPr>
            </w:pPr>
            <w:r w:rsidDel="00000000" w:rsidR="00000000" w:rsidRPr="00000000">
              <w:rPr>
                <w:rFonts w:ascii="Wingdings" w:cs="Wingdings" w:eastAsia="Wingdings" w:hAnsi="Wingdings"/>
                <w:b w:val="1"/>
                <w:sz w:val="24"/>
                <w:szCs w:val="24"/>
                <w:rtl w:val="0"/>
              </w:rPr>
              <w:t xml:space="preserve">☺</w:t>
            </w:r>
            <w:r w:rsidDel="00000000" w:rsidR="00000000" w:rsidRPr="00000000">
              <w:rPr>
                <w:rtl w:val="0"/>
              </w:rPr>
            </w:r>
          </w:p>
        </w:tc>
        <w:tc>
          <w:tcPr/>
          <w:p w:rsidR="00000000" w:rsidDel="00000000" w:rsidP="00000000" w:rsidRDefault="00000000" w:rsidRPr="00000000" w14:paraId="0000004A">
            <w:pPr>
              <w:spacing w:after="0" w:line="360" w:lineRule="auto"/>
              <w:jc w:val="both"/>
              <w:rPr>
                <w:rFonts w:ascii="Times New Roman" w:cs="Times New Roman" w:eastAsia="Times New Roman" w:hAnsi="Times New Roman"/>
                <w:b w:val="1"/>
                <w:sz w:val="24"/>
                <w:szCs w:val="24"/>
              </w:rPr>
            </w:pPr>
            <w:r w:rsidDel="00000000" w:rsidR="00000000" w:rsidRPr="00000000">
              <w:rPr>
                <w:rFonts w:ascii="Wingdings" w:cs="Wingdings" w:eastAsia="Wingdings" w:hAnsi="Wingdings"/>
                <w:b w:val="1"/>
                <w:sz w:val="24"/>
                <w:szCs w:val="24"/>
                <w:rtl w:val="0"/>
              </w:rPr>
              <w:t xml:space="preserve">☺</w:t>
            </w:r>
            <w:r w:rsidDel="00000000" w:rsidR="00000000" w:rsidRPr="00000000">
              <w:rPr>
                <w:rtl w:val="0"/>
              </w:rPr>
            </w:r>
          </w:p>
        </w:tc>
        <w:tc>
          <w:tcPr/>
          <w:p w:rsidR="00000000" w:rsidDel="00000000" w:rsidP="00000000" w:rsidRDefault="00000000" w:rsidRPr="00000000" w14:paraId="0000004B">
            <w:pPr>
              <w:spacing w:after="0" w:line="360" w:lineRule="auto"/>
              <w:jc w:val="both"/>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04C">
            <w:pPr>
              <w:spacing w:after="0" w:line="360" w:lineRule="auto"/>
              <w:jc w:val="both"/>
              <w:rPr>
                <w:rFonts w:ascii="Times New Roman" w:cs="Times New Roman" w:eastAsia="Times New Roman" w:hAnsi="Times New Roman"/>
                <w:b w:val="1"/>
                <w:sz w:val="24"/>
                <w:szCs w:val="24"/>
              </w:rPr>
            </w:pPr>
            <w:r w:rsidDel="00000000" w:rsidR="00000000" w:rsidRPr="00000000">
              <w:rPr>
                <w:rFonts w:ascii="Wingdings" w:cs="Wingdings" w:eastAsia="Wingdings" w:hAnsi="Wingdings"/>
                <w:b w:val="1"/>
                <w:sz w:val="24"/>
                <w:szCs w:val="24"/>
                <w:rtl w:val="0"/>
              </w:rPr>
              <w:t xml:space="preserve">☺</w:t>
            </w:r>
            <w:r w:rsidDel="00000000" w:rsidR="00000000" w:rsidRPr="00000000">
              <w:rPr>
                <w:rtl w:val="0"/>
              </w:rPr>
            </w:r>
          </w:p>
        </w:tc>
        <w:tc>
          <w:tcPr/>
          <w:p w:rsidR="00000000" w:rsidDel="00000000" w:rsidP="00000000" w:rsidRDefault="00000000" w:rsidRPr="00000000" w14:paraId="0000004D">
            <w:pPr>
              <w:spacing w:after="0" w:line="360" w:lineRule="auto"/>
              <w:jc w:val="both"/>
              <w:rPr>
                <w:rFonts w:ascii="Times New Roman" w:cs="Times New Roman" w:eastAsia="Times New Roman" w:hAnsi="Times New Roman"/>
                <w:b w:val="1"/>
                <w:sz w:val="24"/>
                <w:szCs w:val="24"/>
              </w:rPr>
            </w:pPr>
            <w:r w:rsidDel="00000000" w:rsidR="00000000" w:rsidRPr="00000000">
              <w:rPr>
                <w:rFonts w:ascii="Wingdings" w:cs="Wingdings" w:eastAsia="Wingdings" w:hAnsi="Wingdings"/>
                <w:b w:val="1"/>
                <w:sz w:val="24"/>
                <w:szCs w:val="24"/>
                <w:rtl w:val="0"/>
              </w:rPr>
              <w:t xml:space="preserve">☺</w:t>
            </w:r>
            <w:r w:rsidDel="00000000" w:rsidR="00000000" w:rsidRPr="00000000">
              <w:rPr>
                <w:rtl w:val="0"/>
              </w:rPr>
            </w:r>
          </w:p>
        </w:tc>
      </w:tr>
      <w:tr>
        <w:trPr>
          <w:cantSplit w:val="0"/>
          <w:trHeight w:val="403" w:hRule="atLeast"/>
          <w:tblHeader w:val="0"/>
        </w:trPr>
        <w:tc>
          <w:tcPr/>
          <w:p w:rsidR="00000000" w:rsidDel="00000000" w:rsidP="00000000" w:rsidRDefault="00000000" w:rsidRPr="00000000" w14:paraId="0000004E">
            <w:pPr>
              <w:spacing w:after="0" w:line="36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Komunikácia a využívanie médií</w:t>
            </w:r>
          </w:p>
        </w:tc>
        <w:tc>
          <w:tcPr/>
          <w:p w:rsidR="00000000" w:rsidDel="00000000" w:rsidP="00000000" w:rsidRDefault="00000000" w:rsidRPr="00000000" w14:paraId="0000004F">
            <w:pPr>
              <w:spacing w:after="0" w:line="360" w:lineRule="auto"/>
              <w:jc w:val="both"/>
              <w:rPr>
                <w:rFonts w:ascii="Times New Roman" w:cs="Times New Roman" w:eastAsia="Times New Roman" w:hAnsi="Times New Roman"/>
                <w:b w:val="1"/>
                <w:sz w:val="24"/>
                <w:szCs w:val="24"/>
              </w:rPr>
            </w:pPr>
            <w:r w:rsidDel="00000000" w:rsidR="00000000" w:rsidRPr="00000000">
              <w:rPr>
                <w:rFonts w:ascii="Wingdings" w:cs="Wingdings" w:eastAsia="Wingdings" w:hAnsi="Wingdings"/>
                <w:b w:val="1"/>
                <w:sz w:val="24"/>
                <w:szCs w:val="24"/>
                <w:rtl w:val="0"/>
              </w:rPr>
              <w:t xml:space="preserve">☺</w:t>
            </w:r>
            <w:r w:rsidDel="00000000" w:rsidR="00000000" w:rsidRPr="00000000">
              <w:rPr>
                <w:rtl w:val="0"/>
              </w:rPr>
            </w:r>
          </w:p>
        </w:tc>
        <w:tc>
          <w:tcPr/>
          <w:p w:rsidR="00000000" w:rsidDel="00000000" w:rsidP="00000000" w:rsidRDefault="00000000" w:rsidRPr="00000000" w14:paraId="00000050">
            <w:pPr>
              <w:spacing w:after="0" w:line="360" w:lineRule="auto"/>
              <w:jc w:val="both"/>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051">
            <w:pPr>
              <w:spacing w:after="0" w:line="360" w:lineRule="auto"/>
              <w:jc w:val="both"/>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052">
            <w:pPr>
              <w:spacing w:after="0" w:line="360" w:lineRule="auto"/>
              <w:jc w:val="both"/>
              <w:rPr>
                <w:rFonts w:ascii="Times New Roman" w:cs="Times New Roman" w:eastAsia="Times New Roman" w:hAnsi="Times New Roman"/>
                <w:b w:val="1"/>
                <w:sz w:val="24"/>
                <w:szCs w:val="24"/>
              </w:rPr>
            </w:pPr>
            <w:r w:rsidDel="00000000" w:rsidR="00000000" w:rsidRPr="00000000">
              <w:rPr>
                <w:rFonts w:ascii="Wingdings" w:cs="Wingdings" w:eastAsia="Wingdings" w:hAnsi="Wingdings"/>
                <w:b w:val="1"/>
                <w:sz w:val="24"/>
                <w:szCs w:val="24"/>
                <w:rtl w:val="0"/>
              </w:rPr>
              <w:t xml:space="preserve">☺</w:t>
            </w:r>
            <w:r w:rsidDel="00000000" w:rsidR="00000000" w:rsidRPr="00000000">
              <w:rPr>
                <w:rtl w:val="0"/>
              </w:rPr>
            </w:r>
          </w:p>
        </w:tc>
        <w:tc>
          <w:tcPr/>
          <w:p w:rsidR="00000000" w:rsidDel="00000000" w:rsidP="00000000" w:rsidRDefault="00000000" w:rsidRPr="00000000" w14:paraId="00000053">
            <w:pPr>
              <w:spacing w:after="0" w:line="360" w:lineRule="auto"/>
              <w:jc w:val="both"/>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054">
            <w:pPr>
              <w:spacing w:after="0" w:line="360" w:lineRule="auto"/>
              <w:jc w:val="both"/>
              <w:rPr>
                <w:rFonts w:ascii="Times New Roman" w:cs="Times New Roman" w:eastAsia="Times New Roman" w:hAnsi="Times New Roman"/>
                <w:b w:val="1"/>
                <w:sz w:val="24"/>
                <w:szCs w:val="24"/>
              </w:rPr>
            </w:pPr>
            <w:r w:rsidDel="00000000" w:rsidR="00000000" w:rsidRPr="00000000">
              <w:rPr>
                <w:rtl w:val="0"/>
              </w:rPr>
            </w:r>
          </w:p>
        </w:tc>
      </w:tr>
      <w:tr>
        <w:trPr>
          <w:cantSplit w:val="0"/>
          <w:trHeight w:val="403" w:hRule="atLeast"/>
          <w:tblHeader w:val="0"/>
        </w:trPr>
        <w:tc>
          <w:tcPr/>
          <w:p w:rsidR="00000000" w:rsidDel="00000000" w:rsidP="00000000" w:rsidRDefault="00000000" w:rsidRPr="00000000" w14:paraId="00000055">
            <w:pPr>
              <w:spacing w:after="0" w:line="36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Strategická akcia</w:t>
            </w:r>
          </w:p>
        </w:tc>
        <w:tc>
          <w:tcPr/>
          <w:p w:rsidR="00000000" w:rsidDel="00000000" w:rsidP="00000000" w:rsidRDefault="00000000" w:rsidRPr="00000000" w14:paraId="00000056">
            <w:pPr>
              <w:spacing w:after="0" w:line="360" w:lineRule="auto"/>
              <w:jc w:val="both"/>
              <w:rPr>
                <w:rFonts w:ascii="Times New Roman" w:cs="Times New Roman" w:eastAsia="Times New Roman" w:hAnsi="Times New Roman"/>
                <w:b w:val="1"/>
                <w:sz w:val="24"/>
                <w:szCs w:val="24"/>
              </w:rPr>
            </w:pPr>
            <w:r w:rsidDel="00000000" w:rsidR="00000000" w:rsidRPr="00000000">
              <w:rPr>
                <w:rFonts w:ascii="Wingdings" w:cs="Wingdings" w:eastAsia="Wingdings" w:hAnsi="Wingdings"/>
                <w:b w:val="1"/>
                <w:sz w:val="24"/>
                <w:szCs w:val="24"/>
                <w:rtl w:val="0"/>
              </w:rPr>
              <w:t xml:space="preserve">☺</w:t>
            </w:r>
            <w:r w:rsidDel="00000000" w:rsidR="00000000" w:rsidRPr="00000000">
              <w:rPr>
                <w:rtl w:val="0"/>
              </w:rPr>
            </w:r>
          </w:p>
        </w:tc>
        <w:tc>
          <w:tcPr/>
          <w:p w:rsidR="00000000" w:rsidDel="00000000" w:rsidP="00000000" w:rsidRDefault="00000000" w:rsidRPr="00000000" w14:paraId="00000057">
            <w:pPr>
              <w:spacing w:after="0" w:line="360" w:lineRule="auto"/>
              <w:jc w:val="both"/>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058">
            <w:pPr>
              <w:spacing w:after="0" w:line="360" w:lineRule="auto"/>
              <w:jc w:val="both"/>
              <w:rPr>
                <w:rFonts w:ascii="Times New Roman" w:cs="Times New Roman" w:eastAsia="Times New Roman" w:hAnsi="Times New Roman"/>
                <w:b w:val="1"/>
                <w:sz w:val="24"/>
                <w:szCs w:val="24"/>
              </w:rPr>
            </w:pPr>
            <w:r w:rsidDel="00000000" w:rsidR="00000000" w:rsidRPr="00000000">
              <w:rPr>
                <w:rFonts w:ascii="Wingdings" w:cs="Wingdings" w:eastAsia="Wingdings" w:hAnsi="Wingdings"/>
                <w:b w:val="1"/>
                <w:sz w:val="24"/>
                <w:szCs w:val="24"/>
                <w:rtl w:val="0"/>
              </w:rPr>
              <w:t xml:space="preserve">☺</w:t>
            </w:r>
            <w:r w:rsidDel="00000000" w:rsidR="00000000" w:rsidRPr="00000000">
              <w:rPr>
                <w:rtl w:val="0"/>
              </w:rPr>
            </w:r>
          </w:p>
        </w:tc>
        <w:tc>
          <w:tcPr/>
          <w:p w:rsidR="00000000" w:rsidDel="00000000" w:rsidP="00000000" w:rsidRDefault="00000000" w:rsidRPr="00000000" w14:paraId="00000059">
            <w:pPr>
              <w:spacing w:after="0" w:line="360" w:lineRule="auto"/>
              <w:jc w:val="both"/>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05A">
            <w:pPr>
              <w:spacing w:after="0" w:line="360" w:lineRule="auto"/>
              <w:jc w:val="both"/>
              <w:rPr>
                <w:rFonts w:ascii="Times New Roman" w:cs="Times New Roman" w:eastAsia="Times New Roman" w:hAnsi="Times New Roman"/>
                <w:b w:val="1"/>
                <w:sz w:val="24"/>
                <w:szCs w:val="24"/>
              </w:rPr>
            </w:pPr>
            <w:r w:rsidDel="00000000" w:rsidR="00000000" w:rsidRPr="00000000">
              <w:rPr>
                <w:rFonts w:ascii="Wingdings" w:cs="Wingdings" w:eastAsia="Wingdings" w:hAnsi="Wingdings"/>
                <w:b w:val="1"/>
                <w:sz w:val="24"/>
                <w:szCs w:val="24"/>
                <w:rtl w:val="0"/>
              </w:rPr>
              <w:t xml:space="preserve">☺</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Wingdings" w:cs="Wingdings" w:eastAsia="Wingdings" w:hAnsi="Wingdings"/>
                <w:b w:val="1"/>
                <w:sz w:val="24"/>
                <w:szCs w:val="24"/>
                <w:rtl w:val="0"/>
              </w:rPr>
              <w:t xml:space="preserve">☺</w:t>
            </w:r>
            <w:r w:rsidDel="00000000" w:rsidR="00000000" w:rsidRPr="00000000">
              <w:rPr>
                <w:rtl w:val="0"/>
              </w:rPr>
            </w:r>
          </w:p>
        </w:tc>
        <w:tc>
          <w:tcPr/>
          <w:p w:rsidR="00000000" w:rsidDel="00000000" w:rsidP="00000000" w:rsidRDefault="00000000" w:rsidRPr="00000000" w14:paraId="0000005B">
            <w:pPr>
              <w:spacing w:after="0" w:line="360" w:lineRule="auto"/>
              <w:jc w:val="both"/>
              <w:rPr>
                <w:rFonts w:ascii="Times New Roman" w:cs="Times New Roman" w:eastAsia="Times New Roman" w:hAnsi="Times New Roman"/>
                <w:b w:val="1"/>
                <w:sz w:val="24"/>
                <w:szCs w:val="24"/>
              </w:rPr>
            </w:pPr>
            <w:r w:rsidDel="00000000" w:rsidR="00000000" w:rsidRPr="00000000">
              <w:rPr>
                <w:rFonts w:ascii="Wingdings" w:cs="Wingdings" w:eastAsia="Wingdings" w:hAnsi="Wingdings"/>
                <w:b w:val="1"/>
                <w:sz w:val="24"/>
                <w:szCs w:val="24"/>
                <w:rtl w:val="0"/>
              </w:rPr>
              <w:t xml:space="preserve">☺</w:t>
            </w:r>
            <w:r w:rsidDel="00000000" w:rsidR="00000000" w:rsidRPr="00000000">
              <w:rPr>
                <w:rtl w:val="0"/>
              </w:rPr>
            </w:r>
          </w:p>
        </w:tc>
      </w:tr>
      <w:tr>
        <w:trPr>
          <w:cantSplit w:val="0"/>
          <w:trHeight w:val="403" w:hRule="atLeast"/>
          <w:tblHeader w:val="0"/>
        </w:trPr>
        <w:tc>
          <w:tcPr/>
          <w:p w:rsidR="00000000" w:rsidDel="00000000" w:rsidP="00000000" w:rsidRDefault="00000000" w:rsidRPr="00000000" w14:paraId="0000005C">
            <w:pPr>
              <w:spacing w:after="0" w:line="36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Osobné záväzok</w:t>
            </w:r>
          </w:p>
        </w:tc>
        <w:tc>
          <w:tcPr/>
          <w:p w:rsidR="00000000" w:rsidDel="00000000" w:rsidP="00000000" w:rsidRDefault="00000000" w:rsidRPr="00000000" w14:paraId="0000005D">
            <w:pPr>
              <w:spacing w:after="0" w:line="360" w:lineRule="auto"/>
              <w:jc w:val="both"/>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05E">
            <w:pPr>
              <w:spacing w:after="0" w:line="360" w:lineRule="auto"/>
              <w:jc w:val="both"/>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05F">
            <w:pPr>
              <w:spacing w:after="0" w:line="360" w:lineRule="auto"/>
              <w:jc w:val="both"/>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060">
            <w:pPr>
              <w:spacing w:after="0" w:line="360" w:lineRule="auto"/>
              <w:jc w:val="both"/>
              <w:rPr>
                <w:rFonts w:ascii="Times New Roman" w:cs="Times New Roman" w:eastAsia="Times New Roman" w:hAnsi="Times New Roman"/>
                <w:b w:val="1"/>
                <w:sz w:val="24"/>
                <w:szCs w:val="24"/>
              </w:rPr>
            </w:pPr>
            <w:r w:rsidDel="00000000" w:rsidR="00000000" w:rsidRPr="00000000">
              <w:rPr>
                <w:rFonts w:ascii="Wingdings" w:cs="Wingdings" w:eastAsia="Wingdings" w:hAnsi="Wingdings"/>
                <w:b w:val="1"/>
                <w:sz w:val="24"/>
                <w:szCs w:val="24"/>
                <w:rtl w:val="0"/>
              </w:rPr>
              <w:t xml:space="preserve">☺</w:t>
            </w:r>
            <w:r w:rsidDel="00000000" w:rsidR="00000000" w:rsidRPr="00000000">
              <w:rPr>
                <w:rtl w:val="0"/>
              </w:rPr>
            </w:r>
          </w:p>
        </w:tc>
        <w:tc>
          <w:tcPr/>
          <w:p w:rsidR="00000000" w:rsidDel="00000000" w:rsidP="00000000" w:rsidRDefault="00000000" w:rsidRPr="00000000" w14:paraId="00000061">
            <w:pPr>
              <w:spacing w:after="0" w:line="360" w:lineRule="auto"/>
              <w:jc w:val="both"/>
              <w:rPr>
                <w:rFonts w:ascii="Times New Roman" w:cs="Times New Roman" w:eastAsia="Times New Roman" w:hAnsi="Times New Roman"/>
                <w:b w:val="1"/>
                <w:sz w:val="24"/>
                <w:szCs w:val="24"/>
              </w:rPr>
            </w:pPr>
            <w:r w:rsidDel="00000000" w:rsidR="00000000" w:rsidRPr="00000000">
              <w:rPr>
                <w:rFonts w:ascii="Wingdings" w:cs="Wingdings" w:eastAsia="Wingdings" w:hAnsi="Wingdings"/>
                <w:b w:val="1"/>
                <w:sz w:val="24"/>
                <w:szCs w:val="24"/>
                <w:rtl w:val="0"/>
              </w:rPr>
              <w:t xml:space="preserve">☺</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Wingdings" w:cs="Wingdings" w:eastAsia="Wingdings" w:hAnsi="Wingdings"/>
                <w:b w:val="1"/>
                <w:sz w:val="24"/>
                <w:szCs w:val="24"/>
                <w:rtl w:val="0"/>
              </w:rPr>
              <w:t xml:space="preserve">☺</w:t>
            </w:r>
            <w:r w:rsidDel="00000000" w:rsidR="00000000" w:rsidRPr="00000000">
              <w:rPr>
                <w:rtl w:val="0"/>
              </w:rPr>
            </w:r>
          </w:p>
        </w:tc>
        <w:tc>
          <w:tcPr/>
          <w:p w:rsidR="00000000" w:rsidDel="00000000" w:rsidP="00000000" w:rsidRDefault="00000000" w:rsidRPr="00000000" w14:paraId="00000062">
            <w:pPr>
              <w:spacing w:after="0" w:line="360" w:lineRule="auto"/>
              <w:jc w:val="both"/>
              <w:rPr>
                <w:rFonts w:ascii="Times New Roman" w:cs="Times New Roman" w:eastAsia="Times New Roman" w:hAnsi="Times New Roman"/>
                <w:b w:val="1"/>
                <w:sz w:val="24"/>
                <w:szCs w:val="24"/>
              </w:rPr>
            </w:pPr>
            <w:r w:rsidDel="00000000" w:rsidR="00000000" w:rsidRPr="00000000">
              <w:rPr>
                <w:rFonts w:ascii="Wingdings" w:cs="Wingdings" w:eastAsia="Wingdings" w:hAnsi="Wingdings"/>
                <w:b w:val="1"/>
                <w:sz w:val="24"/>
                <w:szCs w:val="24"/>
                <w:rtl w:val="0"/>
              </w:rPr>
              <w:t xml:space="preserve">☺</w:t>
            </w:r>
            <w:r w:rsidDel="00000000" w:rsidR="00000000" w:rsidRPr="00000000">
              <w:rPr>
                <w:rtl w:val="0"/>
              </w:rPr>
            </w:r>
          </w:p>
        </w:tc>
      </w:tr>
      <w:tr>
        <w:trPr>
          <w:cantSplit w:val="0"/>
          <w:trHeight w:val="403" w:hRule="atLeast"/>
          <w:tblHeader w:val="0"/>
        </w:trPr>
        <w:tc>
          <w:tcPr/>
          <w:p w:rsidR="00000000" w:rsidDel="00000000" w:rsidP="00000000" w:rsidRDefault="00000000" w:rsidRPr="00000000" w14:paraId="00000063">
            <w:pPr>
              <w:spacing w:after="0" w:line="36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Posudzovanie a hodnotenie</w:t>
            </w:r>
          </w:p>
        </w:tc>
        <w:tc>
          <w:tcPr/>
          <w:p w:rsidR="00000000" w:rsidDel="00000000" w:rsidP="00000000" w:rsidRDefault="00000000" w:rsidRPr="00000000" w14:paraId="00000064">
            <w:pPr>
              <w:spacing w:after="0" w:line="360" w:lineRule="auto"/>
              <w:jc w:val="both"/>
              <w:rPr>
                <w:rFonts w:ascii="Times New Roman" w:cs="Times New Roman" w:eastAsia="Times New Roman" w:hAnsi="Times New Roman"/>
                <w:b w:val="1"/>
                <w:sz w:val="24"/>
                <w:szCs w:val="24"/>
              </w:rPr>
            </w:pPr>
            <w:r w:rsidDel="00000000" w:rsidR="00000000" w:rsidRPr="00000000">
              <w:rPr>
                <w:rFonts w:ascii="Wingdings" w:cs="Wingdings" w:eastAsia="Wingdings" w:hAnsi="Wingdings"/>
                <w:b w:val="1"/>
                <w:sz w:val="24"/>
                <w:szCs w:val="24"/>
                <w:rtl w:val="0"/>
              </w:rPr>
              <w:t xml:space="preserve">☺</w:t>
            </w:r>
            <w:r w:rsidDel="00000000" w:rsidR="00000000" w:rsidRPr="00000000">
              <w:rPr>
                <w:rtl w:val="0"/>
              </w:rPr>
            </w:r>
          </w:p>
        </w:tc>
        <w:tc>
          <w:tcPr/>
          <w:p w:rsidR="00000000" w:rsidDel="00000000" w:rsidP="00000000" w:rsidRDefault="00000000" w:rsidRPr="00000000" w14:paraId="00000065">
            <w:pPr>
              <w:spacing w:after="0" w:line="360" w:lineRule="auto"/>
              <w:jc w:val="both"/>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066">
            <w:pPr>
              <w:spacing w:after="0" w:line="360" w:lineRule="auto"/>
              <w:jc w:val="both"/>
              <w:rPr>
                <w:rFonts w:ascii="Times New Roman" w:cs="Times New Roman" w:eastAsia="Times New Roman" w:hAnsi="Times New Roman"/>
                <w:b w:val="1"/>
                <w:sz w:val="24"/>
                <w:szCs w:val="24"/>
              </w:rPr>
            </w:pPr>
            <w:r w:rsidDel="00000000" w:rsidR="00000000" w:rsidRPr="00000000">
              <w:rPr>
                <w:rFonts w:ascii="Wingdings" w:cs="Wingdings" w:eastAsia="Wingdings" w:hAnsi="Wingdings"/>
                <w:b w:val="1"/>
                <w:sz w:val="24"/>
                <w:szCs w:val="24"/>
                <w:rtl w:val="0"/>
              </w:rPr>
              <w:t xml:space="preserve">☺</w:t>
            </w:r>
            <w:r w:rsidDel="00000000" w:rsidR="00000000" w:rsidRPr="00000000">
              <w:rPr>
                <w:rtl w:val="0"/>
              </w:rPr>
            </w:r>
          </w:p>
        </w:tc>
        <w:tc>
          <w:tcPr/>
          <w:p w:rsidR="00000000" w:rsidDel="00000000" w:rsidP="00000000" w:rsidRDefault="00000000" w:rsidRPr="00000000" w14:paraId="00000067">
            <w:pPr>
              <w:spacing w:after="0" w:line="360" w:lineRule="auto"/>
              <w:jc w:val="both"/>
              <w:rPr>
                <w:rFonts w:ascii="Times New Roman" w:cs="Times New Roman" w:eastAsia="Times New Roman" w:hAnsi="Times New Roman"/>
                <w:b w:val="1"/>
                <w:sz w:val="24"/>
                <w:szCs w:val="24"/>
              </w:rPr>
            </w:pPr>
            <w:r w:rsidDel="00000000" w:rsidR="00000000" w:rsidRPr="00000000">
              <w:rPr>
                <w:rFonts w:ascii="Wingdings" w:cs="Wingdings" w:eastAsia="Wingdings" w:hAnsi="Wingdings"/>
                <w:b w:val="1"/>
                <w:sz w:val="24"/>
                <w:szCs w:val="24"/>
                <w:rtl w:val="0"/>
              </w:rPr>
              <w:t xml:space="preserve">☺</w:t>
            </w:r>
            <w:r w:rsidDel="00000000" w:rsidR="00000000" w:rsidRPr="00000000">
              <w:rPr>
                <w:rtl w:val="0"/>
              </w:rPr>
            </w:r>
          </w:p>
        </w:tc>
        <w:tc>
          <w:tcPr/>
          <w:p w:rsidR="00000000" w:rsidDel="00000000" w:rsidP="00000000" w:rsidRDefault="00000000" w:rsidRPr="00000000" w14:paraId="00000068">
            <w:pPr>
              <w:spacing w:after="0" w:line="360" w:lineRule="auto"/>
              <w:jc w:val="both"/>
              <w:rPr>
                <w:rFonts w:ascii="Times New Roman" w:cs="Times New Roman" w:eastAsia="Times New Roman" w:hAnsi="Times New Roman"/>
                <w:b w:val="1"/>
                <w:sz w:val="24"/>
                <w:szCs w:val="24"/>
              </w:rPr>
            </w:pPr>
            <w:r w:rsidDel="00000000" w:rsidR="00000000" w:rsidRPr="00000000">
              <w:rPr>
                <w:rFonts w:ascii="Wingdings" w:cs="Wingdings" w:eastAsia="Wingdings" w:hAnsi="Wingdings"/>
                <w:b w:val="1"/>
                <w:sz w:val="24"/>
                <w:szCs w:val="24"/>
                <w:rtl w:val="0"/>
              </w:rPr>
              <w:t xml:space="preserve">☺</w:t>
            </w:r>
            <w:r w:rsidDel="00000000" w:rsidR="00000000" w:rsidRPr="00000000">
              <w:rPr>
                <w:rtl w:val="0"/>
              </w:rPr>
            </w:r>
          </w:p>
        </w:tc>
        <w:tc>
          <w:tcPr/>
          <w:p w:rsidR="00000000" w:rsidDel="00000000" w:rsidP="00000000" w:rsidRDefault="00000000" w:rsidRPr="00000000" w14:paraId="00000069">
            <w:pPr>
              <w:spacing w:after="0" w:line="360" w:lineRule="auto"/>
              <w:jc w:val="both"/>
              <w:rPr>
                <w:rFonts w:ascii="Times New Roman" w:cs="Times New Roman" w:eastAsia="Times New Roman" w:hAnsi="Times New Roman"/>
                <w:b w:val="1"/>
                <w:sz w:val="24"/>
                <w:szCs w:val="24"/>
              </w:rPr>
            </w:pPr>
            <w:r w:rsidDel="00000000" w:rsidR="00000000" w:rsidRPr="00000000">
              <w:rPr>
                <w:rFonts w:ascii="Wingdings" w:cs="Wingdings" w:eastAsia="Wingdings" w:hAnsi="Wingdings"/>
                <w:b w:val="1"/>
                <w:sz w:val="24"/>
                <w:szCs w:val="24"/>
                <w:rtl w:val="0"/>
              </w:rPr>
              <w:t xml:space="preserve">☺</w:t>
            </w:r>
            <w:r w:rsidDel="00000000" w:rsidR="00000000" w:rsidRPr="00000000">
              <w:rPr>
                <w:rtl w:val="0"/>
              </w:rPr>
            </w:r>
          </w:p>
        </w:tc>
      </w:tr>
      <w:tr>
        <w:trPr>
          <w:cantSplit w:val="0"/>
          <w:trHeight w:val="403" w:hRule="atLeast"/>
          <w:tblHeader w:val="0"/>
        </w:trPr>
        <w:tc>
          <w:tcPr/>
          <w:p w:rsidR="00000000" w:rsidDel="00000000" w:rsidP="00000000" w:rsidRDefault="00000000" w:rsidRPr="00000000" w14:paraId="0000006A">
            <w:pPr>
              <w:spacing w:after="0" w:line="36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Odolnosť voči situáciám neistoty</w:t>
            </w:r>
          </w:p>
        </w:tc>
        <w:tc>
          <w:tcPr/>
          <w:p w:rsidR="00000000" w:rsidDel="00000000" w:rsidP="00000000" w:rsidRDefault="00000000" w:rsidRPr="00000000" w14:paraId="0000006B">
            <w:pPr>
              <w:spacing w:after="0" w:line="360" w:lineRule="auto"/>
              <w:jc w:val="both"/>
              <w:rPr>
                <w:rFonts w:ascii="Times New Roman" w:cs="Times New Roman" w:eastAsia="Times New Roman" w:hAnsi="Times New Roman"/>
                <w:b w:val="1"/>
                <w:sz w:val="24"/>
                <w:szCs w:val="24"/>
              </w:rPr>
            </w:pPr>
            <w:r w:rsidDel="00000000" w:rsidR="00000000" w:rsidRPr="00000000">
              <w:rPr>
                <w:rFonts w:ascii="Wingdings" w:cs="Wingdings" w:eastAsia="Wingdings" w:hAnsi="Wingdings"/>
                <w:b w:val="1"/>
                <w:sz w:val="24"/>
                <w:szCs w:val="24"/>
                <w:rtl w:val="0"/>
              </w:rPr>
              <w:t xml:space="preserve">☺</w:t>
            </w:r>
            <w:r w:rsidDel="00000000" w:rsidR="00000000" w:rsidRPr="00000000">
              <w:rPr>
                <w:rtl w:val="0"/>
              </w:rPr>
            </w:r>
          </w:p>
        </w:tc>
        <w:tc>
          <w:tcPr/>
          <w:p w:rsidR="00000000" w:rsidDel="00000000" w:rsidP="00000000" w:rsidRDefault="00000000" w:rsidRPr="00000000" w14:paraId="0000006C">
            <w:pPr>
              <w:spacing w:after="0" w:line="360" w:lineRule="auto"/>
              <w:jc w:val="both"/>
              <w:rPr>
                <w:rFonts w:ascii="Times New Roman" w:cs="Times New Roman" w:eastAsia="Times New Roman" w:hAnsi="Times New Roman"/>
                <w:b w:val="1"/>
                <w:sz w:val="24"/>
                <w:szCs w:val="24"/>
              </w:rPr>
            </w:pPr>
            <w:r w:rsidDel="00000000" w:rsidR="00000000" w:rsidRPr="00000000">
              <w:rPr>
                <w:rFonts w:ascii="Wingdings" w:cs="Wingdings" w:eastAsia="Wingdings" w:hAnsi="Wingdings"/>
                <w:b w:val="1"/>
                <w:sz w:val="24"/>
                <w:szCs w:val="24"/>
                <w:rtl w:val="0"/>
              </w:rPr>
              <w:t xml:space="preserve">☺</w:t>
            </w:r>
            <w:r w:rsidDel="00000000" w:rsidR="00000000" w:rsidRPr="00000000">
              <w:rPr>
                <w:rtl w:val="0"/>
              </w:rPr>
            </w:r>
          </w:p>
        </w:tc>
        <w:tc>
          <w:tcPr/>
          <w:p w:rsidR="00000000" w:rsidDel="00000000" w:rsidP="00000000" w:rsidRDefault="00000000" w:rsidRPr="00000000" w14:paraId="0000006D">
            <w:pPr>
              <w:spacing w:after="0" w:line="360" w:lineRule="auto"/>
              <w:jc w:val="both"/>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06E">
            <w:pPr>
              <w:spacing w:after="0" w:line="360" w:lineRule="auto"/>
              <w:jc w:val="both"/>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06F">
            <w:pPr>
              <w:spacing w:after="0" w:line="360" w:lineRule="auto"/>
              <w:jc w:val="both"/>
              <w:rPr>
                <w:rFonts w:ascii="Times New Roman" w:cs="Times New Roman" w:eastAsia="Times New Roman" w:hAnsi="Times New Roman"/>
                <w:b w:val="1"/>
                <w:sz w:val="24"/>
                <w:szCs w:val="24"/>
              </w:rPr>
            </w:pPr>
            <w:r w:rsidDel="00000000" w:rsidR="00000000" w:rsidRPr="00000000">
              <w:rPr>
                <w:rFonts w:ascii="Wingdings" w:cs="Wingdings" w:eastAsia="Wingdings" w:hAnsi="Wingdings"/>
                <w:b w:val="1"/>
                <w:sz w:val="24"/>
                <w:szCs w:val="24"/>
                <w:rtl w:val="0"/>
              </w:rPr>
              <w:t xml:space="preserve">☺</w:t>
            </w:r>
            <w:r w:rsidDel="00000000" w:rsidR="00000000" w:rsidRPr="00000000">
              <w:rPr>
                <w:rtl w:val="0"/>
              </w:rPr>
            </w:r>
          </w:p>
        </w:tc>
        <w:tc>
          <w:tcPr/>
          <w:p w:rsidR="00000000" w:rsidDel="00000000" w:rsidP="00000000" w:rsidRDefault="00000000" w:rsidRPr="00000000" w14:paraId="00000070">
            <w:pPr>
              <w:spacing w:after="0" w:line="360" w:lineRule="auto"/>
              <w:jc w:val="both"/>
              <w:rPr>
                <w:rFonts w:ascii="Times New Roman" w:cs="Times New Roman" w:eastAsia="Times New Roman" w:hAnsi="Times New Roman"/>
                <w:b w:val="1"/>
                <w:sz w:val="24"/>
                <w:szCs w:val="24"/>
              </w:rPr>
            </w:pPr>
            <w:r w:rsidDel="00000000" w:rsidR="00000000" w:rsidRPr="00000000">
              <w:rPr>
                <w:rtl w:val="0"/>
              </w:rPr>
            </w:r>
          </w:p>
        </w:tc>
      </w:tr>
      <w:tr>
        <w:trPr>
          <w:cantSplit w:val="0"/>
          <w:trHeight w:val="403" w:hRule="atLeast"/>
          <w:tblHeader w:val="0"/>
        </w:trPr>
        <w:tc>
          <w:tcPr/>
          <w:p w:rsidR="00000000" w:rsidDel="00000000" w:rsidP="00000000" w:rsidRDefault="00000000" w:rsidRPr="00000000" w14:paraId="00000071">
            <w:pPr>
              <w:spacing w:after="0" w:line="36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Celkové skóre</w:t>
            </w:r>
          </w:p>
        </w:tc>
        <w:tc>
          <w:tcPr/>
          <w:p w:rsidR="00000000" w:rsidDel="00000000" w:rsidP="00000000" w:rsidRDefault="00000000" w:rsidRPr="00000000" w14:paraId="00000072">
            <w:pPr>
              <w:spacing w:after="0"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14</w:t>
            </w:r>
            <w:r w:rsidDel="00000000" w:rsidR="00000000" w:rsidRPr="00000000">
              <w:rPr>
                <w:rFonts w:ascii="Wingdings" w:cs="Wingdings" w:eastAsia="Wingdings" w:hAnsi="Wingdings"/>
                <w:b w:val="1"/>
                <w:sz w:val="24"/>
                <w:szCs w:val="24"/>
                <w:rtl w:val="0"/>
              </w:rPr>
              <w:t xml:space="preserve">☺</w:t>
            </w:r>
            <w:r w:rsidDel="00000000" w:rsidR="00000000" w:rsidRPr="00000000">
              <w:rPr>
                <w:rtl w:val="0"/>
              </w:rPr>
            </w:r>
          </w:p>
        </w:tc>
        <w:tc>
          <w:tcPr/>
          <w:p w:rsidR="00000000" w:rsidDel="00000000" w:rsidP="00000000" w:rsidRDefault="00000000" w:rsidRPr="00000000" w14:paraId="00000073">
            <w:pPr>
              <w:spacing w:after="0"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6</w:t>
            </w:r>
            <w:r w:rsidDel="00000000" w:rsidR="00000000" w:rsidRPr="00000000">
              <w:rPr>
                <w:rFonts w:ascii="Wingdings" w:cs="Wingdings" w:eastAsia="Wingdings" w:hAnsi="Wingdings"/>
                <w:b w:val="1"/>
                <w:sz w:val="24"/>
                <w:szCs w:val="24"/>
                <w:rtl w:val="0"/>
              </w:rPr>
              <w:t xml:space="preserve">☺</w:t>
            </w:r>
            <w:r w:rsidDel="00000000" w:rsidR="00000000" w:rsidRPr="00000000">
              <w:rPr>
                <w:rtl w:val="0"/>
              </w:rPr>
            </w:r>
          </w:p>
        </w:tc>
        <w:tc>
          <w:tcPr/>
          <w:p w:rsidR="00000000" w:rsidDel="00000000" w:rsidP="00000000" w:rsidRDefault="00000000" w:rsidRPr="00000000" w14:paraId="00000074">
            <w:pPr>
              <w:spacing w:after="0"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6</w:t>
            </w:r>
            <w:r w:rsidDel="00000000" w:rsidR="00000000" w:rsidRPr="00000000">
              <w:rPr>
                <w:rFonts w:ascii="Wingdings" w:cs="Wingdings" w:eastAsia="Wingdings" w:hAnsi="Wingdings"/>
                <w:b w:val="1"/>
                <w:sz w:val="24"/>
                <w:szCs w:val="24"/>
                <w:rtl w:val="0"/>
              </w:rPr>
              <w:t xml:space="preserve">☺</w:t>
            </w:r>
            <w:r w:rsidDel="00000000" w:rsidR="00000000" w:rsidRPr="00000000">
              <w:rPr>
                <w:rtl w:val="0"/>
              </w:rPr>
            </w:r>
          </w:p>
        </w:tc>
        <w:tc>
          <w:tcPr/>
          <w:p w:rsidR="00000000" w:rsidDel="00000000" w:rsidP="00000000" w:rsidRDefault="00000000" w:rsidRPr="00000000" w14:paraId="00000075">
            <w:pPr>
              <w:spacing w:after="0"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7</w:t>
            </w:r>
            <w:r w:rsidDel="00000000" w:rsidR="00000000" w:rsidRPr="00000000">
              <w:rPr>
                <w:rFonts w:ascii="Wingdings" w:cs="Wingdings" w:eastAsia="Wingdings" w:hAnsi="Wingdings"/>
                <w:b w:val="1"/>
                <w:sz w:val="24"/>
                <w:szCs w:val="24"/>
                <w:rtl w:val="0"/>
              </w:rPr>
              <w:t xml:space="preserve">☺</w:t>
            </w:r>
            <w:r w:rsidDel="00000000" w:rsidR="00000000" w:rsidRPr="00000000">
              <w:rPr>
                <w:rtl w:val="0"/>
              </w:rPr>
            </w:r>
          </w:p>
        </w:tc>
        <w:tc>
          <w:tcPr/>
          <w:p w:rsidR="00000000" w:rsidDel="00000000" w:rsidP="00000000" w:rsidRDefault="00000000" w:rsidRPr="00000000" w14:paraId="00000076">
            <w:pPr>
              <w:spacing w:after="0"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14</w:t>
            </w:r>
            <w:r w:rsidDel="00000000" w:rsidR="00000000" w:rsidRPr="00000000">
              <w:rPr>
                <w:rFonts w:ascii="Wingdings" w:cs="Wingdings" w:eastAsia="Wingdings" w:hAnsi="Wingdings"/>
                <w:b w:val="1"/>
                <w:sz w:val="24"/>
                <w:szCs w:val="24"/>
                <w:rtl w:val="0"/>
              </w:rPr>
              <w:t xml:space="preserve">☺</w:t>
            </w:r>
            <w:r w:rsidDel="00000000" w:rsidR="00000000" w:rsidRPr="00000000">
              <w:rPr>
                <w:rtl w:val="0"/>
              </w:rPr>
            </w:r>
          </w:p>
        </w:tc>
        <w:tc>
          <w:tcPr/>
          <w:p w:rsidR="00000000" w:rsidDel="00000000" w:rsidP="00000000" w:rsidRDefault="00000000" w:rsidRPr="00000000" w14:paraId="00000077">
            <w:pPr>
              <w:spacing w:after="0"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12</w:t>
            </w:r>
            <w:r w:rsidDel="00000000" w:rsidR="00000000" w:rsidRPr="00000000">
              <w:rPr>
                <w:rFonts w:ascii="Wingdings" w:cs="Wingdings" w:eastAsia="Wingdings" w:hAnsi="Wingdings"/>
                <w:b w:val="1"/>
                <w:sz w:val="24"/>
                <w:szCs w:val="24"/>
                <w:rtl w:val="0"/>
              </w:rPr>
              <w:t xml:space="preserve">☺</w:t>
            </w:r>
            <w:r w:rsidDel="00000000" w:rsidR="00000000" w:rsidRPr="00000000">
              <w:rPr>
                <w:rtl w:val="0"/>
              </w:rPr>
            </w:r>
          </w:p>
        </w:tc>
      </w:tr>
    </w:tbl>
    <w:p w:rsidR="00000000" w:rsidDel="00000000" w:rsidP="00000000" w:rsidRDefault="00000000" w:rsidRPr="00000000" w14:paraId="00000078">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9">
      <w:pPr>
        <w:spacing w:line="360" w:lineRule="auto"/>
        <w:jc w:val="both"/>
        <w:rPr>
          <w:rFonts w:ascii="Times New Roman" w:cs="Times New Roman" w:eastAsia="Times New Roman" w:hAnsi="Times New Roman"/>
          <w:sz w:val="24"/>
          <w:szCs w:val="24"/>
        </w:rPr>
      </w:pPr>
      <w:r w:rsidDel="00000000" w:rsidR="00000000" w:rsidRPr="00000000">
        <w:rPr>
          <w:rFonts w:ascii="Wingdings" w:cs="Wingdings" w:eastAsia="Wingdings" w:hAnsi="Wingdings"/>
          <w:b w:val="1"/>
          <w:sz w:val="24"/>
          <w:szCs w:val="24"/>
          <w:rtl w:val="0"/>
        </w:rPr>
        <w:t xml:space="preserve">☺</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Wingdings" w:cs="Wingdings" w:eastAsia="Wingdings" w:hAnsi="Wingdings"/>
          <w:b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pedagogický prístup, ktorý zvyčajne prispieva k rozvoju špecifických kompetencií</w:t>
      </w:r>
    </w:p>
    <w:p w:rsidR="00000000" w:rsidDel="00000000" w:rsidP="00000000" w:rsidRDefault="00000000" w:rsidRPr="00000000" w14:paraId="0000007A">
      <w:pPr>
        <w:spacing w:line="360" w:lineRule="auto"/>
        <w:jc w:val="both"/>
        <w:rPr>
          <w:rFonts w:ascii="Times New Roman" w:cs="Times New Roman" w:eastAsia="Times New Roman" w:hAnsi="Times New Roman"/>
          <w:sz w:val="24"/>
          <w:szCs w:val="24"/>
        </w:rPr>
      </w:pPr>
      <w:r w:rsidDel="00000000" w:rsidR="00000000" w:rsidRPr="00000000">
        <w:rPr>
          <w:rFonts w:ascii="Wingdings" w:cs="Wingdings" w:eastAsia="Wingdings" w:hAnsi="Wingdings"/>
          <w:b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pedagogický prístup, ktorý skôr môže prispieť k rozvoju kompetencie.</w:t>
      </w:r>
    </w:p>
    <w:p w:rsidR="00000000" w:rsidDel="00000000" w:rsidP="00000000" w:rsidRDefault="00000000" w:rsidRPr="00000000" w14:paraId="0000007B">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C">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Zdroj: A. Stępnikowski, Príručka metodiky školenia pre školiteľov o trvalo udržateľnom rozvoji, OECD – Program posilňovania kapacít, Varšava-Paríž 2022.</w:t>
      </w:r>
    </w:p>
    <w:sectPr>
      <w:type w:val="nextPage"/>
      <w:pgSz w:h="12240" w:w="15840" w:orient="landscape"/>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Wingding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D">
    <w:pPr>
      <w:rPr/>
    </w:pPr>
    <w:r w:rsidDel="00000000" w:rsidR="00000000" w:rsidRPr="00000000">
      <w:rPr>
        <w:rFonts w:ascii="Ubuntu" w:cs="Ubuntu" w:eastAsia="Ubuntu" w:hAnsi="Ubuntu"/>
      </w:rPr>
      <w:drawing>
        <wp:inline distB="114300" distT="114300" distL="114300" distR="114300">
          <wp:extent cx="576041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6041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pl-PL"/>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0A4809"/>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yperlink">
    <w:name w:val="Hyperlink"/>
    <w:uiPriority w:val="99"/>
    <w:unhideWhenUsed w:val="1"/>
    <w:rsid w:val="000A4809"/>
    <w:rPr>
      <w:color w:val="0000ff"/>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Y+upDrlCrvgY1blcZbAfb32VuoQ==">CgMxLjA4AHIhMVNrQ2duSHg4Ml9waDNZRG1kZkd2bk5RbXoxWTZTSWRU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2023-02-07T13:32:00Z</dcterms:created>
  <dc:creator>Julia Munik</dc:creator>
</cp:coreProperties>
</file>