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360" w:lineRule="auto"/>
        <w:jc w:val="both"/>
        <w:rPr>
          <w:rFonts w:ascii="Times New Roman" w:cs="Times New Roman" w:eastAsia="Times New Roman" w:hAnsi="Times New Roman"/>
          <w:color w:val="201f1e"/>
          <w:sz w:val="24"/>
          <w:szCs w:val="24"/>
        </w:rPr>
      </w:pPr>
      <w:r w:rsidDel="00000000" w:rsidR="00000000" w:rsidRPr="00000000">
        <w:rPr>
          <w:rFonts w:ascii="Times New Roman" w:cs="Times New Roman" w:eastAsia="Times New Roman" w:hAnsi="Times New Roman"/>
          <w:color w:val="201f1e"/>
          <w:sz w:val="24"/>
          <w:szCs w:val="24"/>
          <w:rtl w:val="0"/>
        </w:rPr>
        <w:t xml:space="preserve">Dr. Arkadiusz Michał Kowalski, prof. SGH</w:t>
        <w:tab/>
        <w:tab/>
        <w:tab/>
        <w:tab/>
        <w:tab/>
        <w:tab/>
        <w:t xml:space="preserve"> 2022-08-12</w:t>
      </w:r>
    </w:p>
    <w:p w:rsidR="00000000" w:rsidDel="00000000" w:rsidP="00000000" w:rsidRDefault="00000000" w:rsidRPr="00000000" w14:paraId="00000002">
      <w:pPr>
        <w:spacing w:after="120" w:line="360" w:lineRule="auto"/>
        <w:ind w:firstLine="709"/>
        <w:jc w:val="center"/>
        <w:rPr>
          <w:rFonts w:ascii="Times New Roman" w:cs="Times New Roman" w:eastAsia="Times New Roman" w:hAnsi="Times New Roman"/>
          <w:b w:val="1"/>
          <w:color w:val="201f1e"/>
          <w:sz w:val="40"/>
          <w:szCs w:val="40"/>
        </w:rPr>
      </w:pPr>
      <w:r w:rsidDel="00000000" w:rsidR="00000000" w:rsidRPr="00000000">
        <w:rPr>
          <w:rFonts w:ascii="Times New Roman" w:cs="Times New Roman" w:eastAsia="Times New Roman" w:hAnsi="Times New Roman"/>
          <w:b w:val="1"/>
          <w:color w:val="201f1e"/>
          <w:sz w:val="40"/>
          <w:szCs w:val="40"/>
          <w:rtl w:val="0"/>
        </w:rPr>
        <w:t xml:space="preserve">Udržateľná environmentálna konkurencieschopnosť ako determinant zelenej ekonomiky budúcnosti</w:t>
      </w:r>
    </w:p>
    <w:p w:rsidR="00000000" w:rsidDel="00000000" w:rsidP="00000000" w:rsidRDefault="00000000" w:rsidRPr="00000000" w14:paraId="00000003">
      <w:pPr>
        <w:spacing w:after="120" w:line="360" w:lineRule="auto"/>
        <w:ind w:firstLine="709"/>
        <w:jc w:val="both"/>
        <w:rPr>
          <w:rFonts w:ascii="Times New Roman" w:cs="Times New Roman" w:eastAsia="Times New Roman" w:hAnsi="Times New Roman"/>
          <w:color w:val="201f1e"/>
          <w:sz w:val="24"/>
          <w:szCs w:val="24"/>
        </w:rPr>
      </w:pPr>
      <w:r w:rsidDel="00000000" w:rsidR="00000000" w:rsidRPr="00000000">
        <w:rPr>
          <w:rFonts w:ascii="Times New Roman" w:cs="Times New Roman" w:eastAsia="Times New Roman" w:hAnsi="Times New Roman"/>
          <w:color w:val="201f1e"/>
          <w:sz w:val="24"/>
          <w:szCs w:val="24"/>
          <w:rtl w:val="0"/>
        </w:rPr>
        <w:t xml:space="preserve">Ekonomický rast môže mať niekedy negatívne dôsledky, ako je nadmerné využívanie a vyčerpávanie zdrojov, znečistenie ovzdušia a vody vedúce k zmene klímy. Determinantom správneho fungovania zelenej ekonomiky budúcnosti je environmentálna udržateľnosť, ktorú možno definovať ako súbor inštitúcií, politík a iných faktorov, ktoré dlhodobo zvyšujú produktivitu národných zdrojov a zároveň zabezpečujú sociálnu a environmentálnu udržateľnosť. Environmentálna udržateľnosť zahŕňa aj fungovanie inštitúcií a politík, ktoré umožňujú zabezpečiť efektívne hospodárenie s prírodnými zdrojmi s cieľom zabezpečiť prosperitu teraz aj v budúcnosti.</w:t>
      </w:r>
    </w:p>
    <w:p w:rsidR="00000000" w:rsidDel="00000000" w:rsidP="00000000" w:rsidRDefault="00000000" w:rsidRPr="00000000" w14:paraId="00000004">
      <w:pPr>
        <w:spacing w:after="120" w:line="360" w:lineRule="auto"/>
        <w:ind w:firstLine="709"/>
        <w:jc w:val="both"/>
        <w:rPr>
          <w:rFonts w:ascii="Times New Roman" w:cs="Times New Roman" w:eastAsia="Times New Roman" w:hAnsi="Times New Roman"/>
          <w:color w:val="201f1e"/>
          <w:sz w:val="24"/>
          <w:szCs w:val="24"/>
        </w:rPr>
      </w:pPr>
      <w:r w:rsidDel="00000000" w:rsidR="00000000" w:rsidRPr="00000000">
        <w:rPr>
          <w:rFonts w:ascii="Times New Roman" w:cs="Times New Roman" w:eastAsia="Times New Roman" w:hAnsi="Times New Roman"/>
          <w:color w:val="201f1e"/>
          <w:sz w:val="24"/>
          <w:szCs w:val="24"/>
          <w:rtl w:val="0"/>
        </w:rPr>
        <w:t xml:space="preserve">Koncept trvalo udržateľnej konkurencieschopnosti úzko súvisí s cieľmi trvalo udržateľného rozvoja, ktoré v roku 2015 prijala Organizácia Spojených národov v Agende 2030. 17 cieľov trvalo udržateľného rozvoja a ich spresnenie vo forme 169 priorít, ktoré sú navzájom úzko integrované, odrážajú tri dimenzie trvalo udržateľný rozvoj: hospodársky, sociálny a environmentálny. V environmentálnej dimenzii slúžia na zlepšenie životného prostredia, medzi ktoré patrí okrem iného zabezpečenie prístupu k pitnej vode, zníženie znečistenia atď.</w:t>
      </w:r>
    </w:p>
    <w:p w:rsidR="00000000" w:rsidDel="00000000" w:rsidP="00000000" w:rsidRDefault="00000000" w:rsidRPr="00000000" w14:paraId="00000005">
      <w:pPr>
        <w:spacing w:after="120" w:line="360" w:lineRule="auto"/>
        <w:ind w:firstLine="709"/>
        <w:jc w:val="both"/>
        <w:rPr>
          <w:rFonts w:ascii="Times New Roman" w:cs="Times New Roman" w:eastAsia="Times New Roman" w:hAnsi="Times New Roman"/>
          <w:color w:val="201f1e"/>
          <w:sz w:val="24"/>
          <w:szCs w:val="24"/>
        </w:rPr>
      </w:pPr>
      <w:r w:rsidDel="00000000" w:rsidR="00000000" w:rsidRPr="00000000">
        <w:rPr>
          <w:rFonts w:ascii="Times New Roman" w:cs="Times New Roman" w:eastAsia="Times New Roman" w:hAnsi="Times New Roman"/>
          <w:color w:val="201f1e"/>
          <w:sz w:val="24"/>
          <w:szCs w:val="24"/>
          <w:rtl w:val="0"/>
        </w:rPr>
        <w:t xml:space="preserve">V tradičnom prístupe v ekonómii sa väzby medzi environmentálnymi cieľmi a ekonomickou konkurencieschopnosťou považovali za čiastočne protichodné a snaha o ciele trvalo udržateľného rozvoja sa primárne scvrkla na kompromis medzi sociálnymi výhodami zlepšovania životného prostredia a nákladmi pre súkromný sektor alebo štát. Podľa moderného pohľadu sa dosahovanie medzinárodnej konkurencieschopnosti a trvalo udržateľného rozvoja nedeje nezávisle od seba, pretože ochrana životného prostredia a ekonomický rozvoj sú jedným spoločným prvkom a nie sú rozdielne. Naopak, environmentálne negatívne účinky hospodárskej činnosti môžu brzdiť budúce rozvojové procesy. Podľa empirických údajov krajiny s vyššou úrovňou ochrany životného prostredia, ako je vyšší stupeň dekarbonizácie energetických systémov či vyšší podiel patentov súvisiacich so „zelenými“ technológiami ako Dánsko, Japonsko, Južná Kórea, Nemecko, Singapur a tzv. USA sú zároveň najvýkonnejšími ekonomikami v medzinárodných rebríčkoch konkurencieschopnosti.</w:t>
      </w:r>
    </w:p>
    <w:p w:rsidR="00000000" w:rsidDel="00000000" w:rsidP="00000000" w:rsidRDefault="00000000" w:rsidRPr="00000000" w14:paraId="00000006">
      <w:pPr>
        <w:spacing w:after="120" w:line="360" w:lineRule="auto"/>
        <w:ind w:firstLine="709"/>
        <w:jc w:val="both"/>
        <w:rPr>
          <w:rFonts w:ascii="Times New Roman" w:cs="Times New Roman" w:eastAsia="Times New Roman" w:hAnsi="Times New Roman"/>
          <w:color w:val="201f1e"/>
          <w:sz w:val="24"/>
          <w:szCs w:val="24"/>
        </w:rPr>
      </w:pPr>
      <w:r w:rsidDel="00000000" w:rsidR="00000000" w:rsidRPr="00000000">
        <w:rPr>
          <w:rFonts w:ascii="Times New Roman" w:cs="Times New Roman" w:eastAsia="Times New Roman" w:hAnsi="Times New Roman"/>
          <w:color w:val="201f1e"/>
          <w:sz w:val="24"/>
          <w:szCs w:val="24"/>
          <w:rtl w:val="0"/>
        </w:rPr>
        <w:t xml:space="preserve">Narastajúce environmentálne problémy vytvárajú očakávania, že zdroje budú riadené spôsobom, ktorý zodpovedá súčasným potrebám bez toho, aby sa obmedzil prístup k zdrojom pre budúce generácie. V reakcii na túto výzvu sa objavil koncept obehového hospodárstva, ktorý predstavuje model výroby a spotreby, ktorý umožňuje hospodárne využívanie surovín a energie získavaním recyklovateľných materiálov z použitých produktov a ich opätovným použitím. Dôležitým prvkom tohto konceptu je recyklácia, ktorá umožňuje predĺžiť životný cyklus produktov a znížiť potrebu surovín. Vo svetle tejto definície je obehové hospodárstvo jedným zo znakov zelenej ekonomiky budúcnosti.</w:t>
      </w:r>
    </w:p>
    <w:p w:rsidR="00000000" w:rsidDel="00000000" w:rsidP="00000000" w:rsidRDefault="00000000" w:rsidRPr="00000000" w14:paraId="00000007">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Ďalším spôsobom dosiahnutia udržateľnej environmentálnej konkurencieschopnosti je environmentálna inovácia, alebo takzvaná ekoinovácia, ktorá zahŕňa uvádzanie nových produktov, služieb a technológií na trh, ako aj zavádzanie procesov, ktoré prispievajú k lepšiemu uspokojovaniu potrieb človeka, pri racionálnom využívaní prírodných zdrojov a zlepšovaní schopnosti ich reprodukcie. Ekologické inovácie možno posudzovať v širokom kontexte a zahŕňajú tieto typy inovácií:</w:t>
      </w:r>
    </w:p>
    <w:p w:rsidR="00000000" w:rsidDel="00000000" w:rsidP="00000000" w:rsidRDefault="00000000" w:rsidRPr="00000000" w14:paraId="00000008">
      <w:pPr>
        <w:spacing w:after="120" w:line="360" w:lineRule="auto"/>
        <w:ind w:left="708" w:firstLine="0.99999999999994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technologické inovácie, napr. technológie solárnej alebo veternej energie šetria fosílne palivá a znižujú znečistenie spojené s ich prevádzkou,</w:t>
      </w:r>
    </w:p>
    <w:p w:rsidR="00000000" w:rsidDel="00000000" w:rsidP="00000000" w:rsidRDefault="00000000" w:rsidRPr="00000000" w14:paraId="00000009">
      <w:pPr>
        <w:spacing w:after="120" w:line="360" w:lineRule="auto"/>
        <w:ind w:left="708" w:firstLine="0.99999999999994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sociálne inovácie, ktorých cieľom je zlepšiť kvalitu života, napríklad ovplyvňovaním zlepšení pracovných podmienok, rozvoja komunity alebo spotrebiteľského správania a návykov,</w:t>
      </w:r>
    </w:p>
    <w:p w:rsidR="00000000" w:rsidDel="00000000" w:rsidP="00000000" w:rsidRDefault="00000000" w:rsidRPr="00000000" w14:paraId="0000000A">
      <w:pPr>
        <w:spacing w:after="120" w:line="360" w:lineRule="auto"/>
        <w:ind w:left="708" w:firstLine="0.99999999999994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organizačné inovácie, ktoré v oblasti ekoinovácií zahŕňajú napríklad systémy eko-manažmentu,</w:t>
      </w:r>
    </w:p>
    <w:p w:rsidR="00000000" w:rsidDel="00000000" w:rsidP="00000000" w:rsidRDefault="00000000" w:rsidRPr="00000000" w14:paraId="0000000B">
      <w:pPr>
        <w:spacing w:after="120" w:line="360" w:lineRule="auto"/>
        <w:ind w:left="708" w:firstLine="0.99999999999994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inštitucionálne inovácie zahŕňajúce vytváranie rôznych typov štruktúr, ako sú klastre, siete, platformy spolupráce alebo neformálne skupiny na riešenie environmentálnych problémov.</w:t>
      </w:r>
    </w:p>
    <w:p w:rsidR="00000000" w:rsidDel="00000000" w:rsidP="00000000" w:rsidRDefault="00000000" w:rsidRPr="00000000" w14:paraId="0000000C">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Ďalšou dôležitou otázkou posudzovanou v kontexte konkurencieschopnosti environmentálnej udržateľnosti je otázka prírodných zdrojov a ich vlastníctva a riadenia s cieľom zlepšiť efektívnosť ich využívania. Environmentálna udržateľnosť sa môže premietnuť do zlepšenia konkurencieschopnosti, ak má krajina formálne alebo neformálne inštitúcie, ktoré definujú vlastnícke práva takým spôsobom, aby zaručili nadradenosť udržateľných procesov pred využívaním vzácnych zdrojov. Poskytovanie a riadenie prírodných zdrojov môže mať priamy pozitívny vplyv na konkurencieschopnosť v jej udržateľnom rozmere, ale môže tiež oslabiť konkurencieschopnosť tým, že naruší výber hospodárskej politiky.</w:t>
      </w:r>
    </w:p>
    <w:p w:rsidR="00000000" w:rsidDel="00000000" w:rsidP="00000000" w:rsidRDefault="00000000" w:rsidRPr="00000000" w14:paraId="0000000D">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Fenomén horšieho hospodárskeho rozvoja krajín bohatých na prírodné zdroje v porovnaní s krajinami s vzácnymi zdrojmi sa nazýva „prekliatie prírodných zdrojov“ alebo inak „paradox dostatku“. Je to tak v mnohých rozvojových krajinách, ktoré sa špecializujú na tradičné priemyselné odvetvia založené na ťažbe surovín, ktoré sa vyznačujú nízkou úrovňou inovácií a nízkou pridanou hodnotou. Okrem toho v krajinách vedie rozsiahly rozvoj ťažobného priemyslu a nadmerné využívanie prírodných zdrojov k degradácii prírodného prostredia.</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03AF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03AF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ZChhoex0N9qeg//dDim0SXYtmQ==">CgMxLjA4AHIhMVV6SEcteHNHQVpYcWhva0d2RUxrdHlpb0VTWHdTVjkw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2023-02-09T13:49:00Z</dcterms:created>
  <dc:creator>Julia Munik</dc:creator>
</cp:coreProperties>
</file>