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Poľská energetická politika</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Základným dokumentom formujúcim energetickú politiku Poľska do roku 2040 je PEP2040. Obsahuje smery a ciele vládnej politiky v energetike. V reakcii na dynamicky sa meniace trendy na trhu s fosílnymi palivami (súvisiace s agresiou Ruskej federácie voči Ukrajine) a po prehodnotení existujúcej energetickej stratégie Poľska Rada ministrov 29. marca 2022 prijala predpoklady aktualizácie Energetickej politiky Poľska do r. 2040. Hlavným cieľom PEP2040 je v súčasnosti garantovať energetickú bezpečnosť – pri zabezpečení konkurencieschopnosti ekonomiky, energetickej efektívnosti a znižovaní vplyvu energetického sektora na životné prostredie pri zohľadnení optimálneho využívania vlastných energetických zdrojov.</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Hlavný cieľ je ďalej špecifikovaný ôsmimi politickými smermi rozdelenými do oblastí a podrobne rozpísanými dvanástimi strategickými projektmi. Sú rozšírením zoznamu projektov Stratégie zodpovedného rozvoja z oblasti „Energia“.</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pokračujúci, intenzívny rozvoj OZE s osobitným dôrazom na využívanie OZE v energetických klastroch a energetických družstvách. V súčasnosti sa plánuje, že do roku 2040 bude približne polovica elektriny pochádzať z OZE;</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rozširovanie elektrických sietí a skladovania energie s cieľom umožniť ďalší dynamický rozvoj OZE a zlepšiť národnú energetickú bezpečnosť;</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zvyšovanie technologickej diverzifikácie a rozširovanie domácich zdrojov energie, okrem iného prostredníctvom ďalších investícií do energetického sektora s cieľom zabezpečiť energetickú stabilitu a nezávislosť;</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implementácia jadrovej energie investíciami do veľkých reaktorov a v malých modulárnych reaktoroch SMR;</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používanie uhoľných jednotiek, ktoré sa môže pravidelne zvyšovať v situáciách, keď je ohrozená energetická bezpečnosť krajiny;</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zosúladiť investičné rozhodnutia o kapacite výroby plynu s dostupnosťou tohto paliva s vedomím, že plynové palivá sa v súčasnosti vyznačujú nestálosťou cien s potenciálne obmedzenou dostupnosťou;</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diverzifikovať zdroje fosílnych palív získavaním nových dodávateľov;</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zlepšenie energetickej účinnosti investíciami do tepelnej modernizácie budov, okrem iného, ale aj zameraním sa na zníženie spotreby energie v priemysle.</w:t>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Kľúčovým prvkom v kontexte plánovania štátnej energetickej politiky v rámci projektu PEP2040 je digitalizácia. Plánujú sa opatrenia na rozvoj inteligentných energetických sietí, ktoré umožnia uvedomelejšie využívanie energie, efektívne riadenie a minimalizáciu strát pri zachovaní vysokej kvality energie. Najdôležitejšou súčasťou týchto činností je aplikácia riešení z oblasti informačných technológií a telekomunikácií, ako sú inteligentné telemetrické systémy, či systémy pre automatické monitorovanie, riadenie, reguláciu a ochranu siete. Dôležitou súčasťou týchto riešení bude výmena dát medzi zariadeniami, čo znamená šírenie technológie internetu vecí (IoT). Celok má zavŕšiť vybavenie domácností inteligentnými meračmi tak, ako to predpokladá Stratégia, ktorá je neoddeliteľne spojená s budovaním inteligentnej siete, a tým posilnenie postavenia spotrebiteľov elektriny.</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Podniky, ktoré budú využívať moderné digitálne technológie na zmeny v oblasti energetiky:</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rozvoj inteligentných elektrických sietí so zriadením operátora informácií o trhu s energiou;</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implementácia digitálneho komunikačného systému medzi prevádzkovateľmi distribučných sústav;</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zvýšenie využívania nízkouhlíkových zdrojov energie s využitím moderných technológií;</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vybudovanie systému zberu údajov pre tepelnú mapu;</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vybavenie 80 % domácností inteligentnými meračmi do roku 2028.</w:t>
      </w:r>
    </w:p>
    <w:p w:rsidR="00000000" w:rsidDel="00000000" w:rsidP="00000000" w:rsidRDefault="00000000" w:rsidRPr="00000000" w14:paraId="00000015">
      <w:pPr>
        <w:spacing w:line="360" w:lineRule="auto"/>
        <w:jc w:val="both"/>
        <w:rPr/>
      </w:pPr>
      <w:r w:rsidDel="00000000" w:rsidR="00000000" w:rsidRPr="00000000">
        <w:rPr>
          <w:rFonts w:ascii="Times New Roman" w:cs="Times New Roman" w:eastAsia="Times New Roman" w:hAnsi="Times New Roman"/>
          <w:rtl w:val="0"/>
        </w:rPr>
        <w:t xml:space="preserve">Súčasťou PEP2040 sú aj nástroje energetického plánovania, ktorých príkladom je systém zberu dát pre celoštátnu tepelnú mapu. Získanie týchto údajov a ich spracovanie umožní regiónom, ako aj podnikateľom odhadnúť potenciál rozvoja sietí CZT a kogenerácie, pričom novým investorom budú poskytnuté informácie o existujúcej infraštruktúre.</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40" w:line="259" w:lineRule="auto"/>
    </w:pPr>
    <w:rPr>
      <w:rFonts w:ascii="Calibri" w:cs="Calibri" w:eastAsia="Calibri" w:hAnsi="Calibri"/>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B61C7"/>
    <w:pPr>
      <w:spacing w:after="0" w:line="240" w:lineRule="auto"/>
    </w:pPr>
    <w:rPr>
      <w:sz w:val="24"/>
      <w:szCs w:val="24"/>
    </w:rPr>
  </w:style>
  <w:style w:type="paragraph" w:styleId="Heading3">
    <w:name w:val="heading 3"/>
    <w:basedOn w:val="Normal"/>
    <w:next w:val="Normal"/>
    <w:link w:val="Heading3Char"/>
    <w:uiPriority w:val="9"/>
    <w:unhideWhenUsed w:val="1"/>
    <w:qFormat w:val="1"/>
    <w:rsid w:val="009B61C7"/>
    <w:pPr>
      <w:keepNext w:val="1"/>
      <w:keepLines w:val="1"/>
      <w:spacing w:before="40" w:line="259" w:lineRule="auto"/>
      <w:outlineLvl w:val="2"/>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basedOn w:val="DefaultParagraphFont"/>
    <w:link w:val="Heading3"/>
    <w:uiPriority w:val="9"/>
    <w:rsid w:val="009B61C7"/>
    <w:rPr>
      <w:rFonts w:asciiTheme="majorHAnsi" w:cstheme="majorBidi" w:eastAsiaTheme="majorEastAsia" w:hAnsiTheme="majorHAnsi"/>
      <w:color w:val="1f3763" w:themeColor="accent1" w:themeShade="00007F"/>
      <w:sz w:val="24"/>
      <w:szCs w:val="24"/>
    </w:rPr>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FooterText"/>
    <w:basedOn w:val="Normal"/>
    <w:link w:val="ListParagraphChar"/>
    <w:uiPriority w:val="34"/>
    <w:qFormat w:val="1"/>
    <w:rsid w:val="009B61C7"/>
    <w:pPr>
      <w:spacing w:after="200" w:line="276" w:lineRule="auto"/>
      <w:ind w:left="720"/>
      <w:contextualSpacing w:val="1"/>
    </w:pPr>
    <w:rPr>
      <w:rFonts w:ascii="Arial" w:cs="Arial" w:eastAsia="Arial" w:hAnsi="Arial"/>
      <w:sz w:val="22"/>
      <w:szCs w:val="22"/>
    </w:rPr>
  </w:style>
  <w:style w:type="character" w:styleId="ListParagraphChar" w:customStyle="1">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val="1"/>
    <w:locked w:val="1"/>
    <w:rsid w:val="009B61C7"/>
    <w:rPr>
      <w:rFonts w:ascii="Arial" w:cs="Arial" w:eastAsia="Arial"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s1pPWSv921x/fkd/DdFs9JGT1w==">CgMxLjA4AHIhMThhOXo0b0lRNDB2RENDNlFDc2N5bFpGbWVaSThucDJn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2023-02-15T13:48:00Z</dcterms:created>
  <dc:creator>Julia Munik</dc:creator>
</cp:coreProperties>
</file>