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Environmentální výchova a osvěta pro žáky odborných škol - 2. část</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Environmentální výchova v odborném vzdělávání</w:t>
      </w:r>
    </w:p>
    <w:p w:rsidR="00000000" w:rsidDel="00000000" w:rsidP="00000000" w:rsidRDefault="00000000" w:rsidRPr="00000000" w14:paraId="00000003">
      <w:pPr>
        <w:spacing w:line="360" w:lineRule="auto"/>
        <w:jc w:val="both"/>
        <w:rPr>
          <w:rFonts w:ascii="Times New Roman" w:cs="Times New Roman" w:eastAsia="Times New Roman" w:hAnsi="Times New Roman"/>
          <w:color w:val="1b1b1b"/>
          <w:sz w:val="24"/>
          <w:szCs w:val="24"/>
          <w:highlight w:val="white"/>
        </w:rPr>
      </w:pPr>
      <w:r w:rsidDel="00000000" w:rsidR="00000000" w:rsidRPr="00000000">
        <w:rPr>
          <w:rFonts w:ascii="Times New Roman" w:cs="Times New Roman" w:eastAsia="Times New Roman" w:hAnsi="Times New Roman"/>
          <w:color w:val="1b1b1b"/>
          <w:sz w:val="24"/>
          <w:szCs w:val="24"/>
          <w:highlight w:val="white"/>
          <w:rtl w:val="0"/>
        </w:rPr>
        <w:t xml:space="preserve">Ministerstvo školství a vědy zavedlo ustanovení, které od 1. září 2020 ukládá učitelům povinnost diskutovat se svými žáky o nejdůležitějších otázkách ochrany životního prostředí a klimatu v hodinách s pedagogy (</w:t>
      </w:r>
      <w:hyperlink r:id="rId7">
        <w:r w:rsidDel="00000000" w:rsidR="00000000" w:rsidRPr="00000000">
          <w:rPr>
            <w:rFonts w:ascii="Times New Roman" w:cs="Times New Roman" w:eastAsia="Times New Roman" w:hAnsi="Times New Roman"/>
            <w:color w:val="0000ff"/>
            <w:sz w:val="24"/>
            <w:szCs w:val="24"/>
            <w:u w:val="single"/>
            <w:rtl w:val="0"/>
          </w:rPr>
          <w:t xml:space="preserve">Content on environmental education present in Polish schools - Ministry of Education and Science - Gov.pl Portal (www.gov.pl)</w:t>
        </w:r>
      </w:hyperlink>
      <w:r w:rsidDel="00000000" w:rsidR="00000000" w:rsidRPr="00000000">
        <w:rPr>
          <w:rFonts w:ascii="Times New Roman" w:cs="Times New Roman" w:eastAsia="Times New Roman" w:hAnsi="Times New Roman"/>
          <w:color w:val="1b1b1b"/>
          <w:sz w:val="24"/>
          <w:szCs w:val="24"/>
          <w:highlight w:val="white"/>
          <w:rtl w:val="0"/>
        </w:rPr>
        <w:t xml:space="preserve">. 17. srpna 2021. Ministr pro klima a životní prostředí a ministr školství a vědy podepsali dohodu o záměru, který vyjadřuje vůli spolupracovat v oblasti environmentální a klimatické výchovy, jejímž hlavním cílem je zvýšení environmentálního a klimatického povědomí mladé generace. Cílem práce týmu je připravit 40 scénářů vyučovacích hodin zaměřených na problematiku ochrany klimatu, které bude možné realizovat ve výukových hodinách: 16 scénářů pro I.-VIII. ročník základní školy a 24 scénářů pro I.-IV. ročník střední školy. Ve škole se žáci učí o změně klimatu, ochraně životního prostředí, ochraně zdrojů, tj. energie, vody, přírodních zdrojů, recyklaci odpadů. Environmentální výchova je tedy vnímána jako výzva, ale zdá se, že ani věnování výukových hodin takto důležitému tématu zdaleka nestačí, jelikož se v případě odborného vzdělávání ochrana životního prostředí (např. používání ekologicky šetrnějších náhrad, recyklace) týká širšího rozměru profese, zasahuje do oblasti materiálového hospodářství, technologie a kalkulace služeb, výrobků, a tedy hlouběji do ekonomiky podniků. K efektivní výchově nestačí vložit ustanovení do rámcového vzdělávacího programu nebo vyhlášky o tématech hodin výchovy, ale je třeba takové postoje formovat v praxi, nejlépe osobním příkladem učitelů a mistrů.</w:t>
      </w:r>
    </w:p>
    <w:p w:rsidR="00000000" w:rsidDel="00000000" w:rsidP="00000000" w:rsidRDefault="00000000" w:rsidRPr="00000000" w14:paraId="00000004">
      <w:pPr>
        <w:spacing w:line="360" w:lineRule="auto"/>
        <w:jc w:val="both"/>
        <w:rPr>
          <w:rFonts w:ascii="Times New Roman" w:cs="Times New Roman" w:eastAsia="Times New Roman" w:hAnsi="Times New Roman"/>
          <w:color w:val="1b1b1b"/>
          <w:sz w:val="24"/>
          <w:szCs w:val="24"/>
          <w:highlight w:val="white"/>
        </w:rPr>
      </w:pPr>
      <w:r w:rsidDel="00000000" w:rsidR="00000000" w:rsidRPr="00000000">
        <w:rPr>
          <w:rFonts w:ascii="Times New Roman" w:cs="Times New Roman" w:eastAsia="Times New Roman" w:hAnsi="Times New Roman"/>
          <w:color w:val="1b1b1b"/>
          <w:sz w:val="24"/>
          <w:szCs w:val="24"/>
          <w:highlight w:val="white"/>
          <w:rtl w:val="0"/>
        </w:rPr>
        <w:t xml:space="preserve">Za zmínku stojí téměř sto tisíc mladistvých pracovníků, kteří mají dvojí status, a to učně a osoby zaměstnané na základě pracovní smlouvy pro odbornou přípravu. Téměř 2 500 mladistvých pracovníků absolvuje na pracovištích nejen praktickou, ale i teoretickou výuku. Tuto "armádu" mladistvých pracovníků prakticky připravuje asi 40 000 mistrů a instruktorů praktického odborného výcviku (z toho asi 23 500 mistrů řemesel připravujících asi 60 000 učňů).</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21. století je jednou z hlavních výzev pro společnost a podniky ochrana životního prostředí. Uvádí to mimo jiné společná zpráva OECD (Organizace pro hospodářskou spolupráci a rozvoj) a CEDEFOP (Evropské centrum pro rozvoj odborného vzdělávání) s názvem: </w:t>
      </w:r>
      <w:r w:rsidDel="00000000" w:rsidR="00000000" w:rsidRPr="00000000">
        <w:rPr>
          <w:rFonts w:ascii="Times New Roman" w:cs="Times New Roman" w:eastAsia="Times New Roman" w:hAnsi="Times New Roman"/>
          <w:i w:val="1"/>
          <w:sz w:val="24"/>
          <w:szCs w:val="24"/>
          <w:rtl w:val="0"/>
        </w:rPr>
        <w:t xml:space="preserve">Zelené dovednosti a inovace pro růst podporující začlenění</w:t>
      </w:r>
      <w:r w:rsidDel="00000000" w:rsidR="00000000" w:rsidRPr="00000000">
        <w:rPr>
          <w:rFonts w:ascii="Times New Roman" w:cs="Times New Roman" w:eastAsia="Times New Roman" w:hAnsi="Times New Roman"/>
          <w:sz w:val="24"/>
          <w:szCs w:val="24"/>
          <w:rtl w:val="0"/>
        </w:rPr>
        <w:t xml:space="preserve">. Ve světě se diskutuje o energetické účinnosti, podpoře využívání cenově dostupných obnovitelných zdrojů energie, zvýšení dostupnosti různých zdrojů energie, včetně solární energie, energetických staveb, daňových pobídek a mnoha dalších nápadech. Přizpůsobit se musí i řemeslníci a další zaměstnavatelé, protože podle zákona o ochraně životního prostředí je každý podnik využívající životní prostředí povinen dodržovat požadavky na jeho ochranu, zejména tím, že přijme opatření k odstranění nebo snížení škod vzniklých nedodržením požadavků na ochranu životního prostředí a přijme vhodná opatření k odstranění takových případů v budoucnosti. Následující výzkum ukazuje na informační mezery řemeslníků v této oblasti. Většina z nich používá nejjednodušší proenvironmentální řešení jako jsou: zhasínání světel (87 %) a používání úsporných světelných zdrojů (83 %), nákup energeticky úsporné spotřební elektroniky/spotřebičů (36 %), 6,5 %, používání automatických spínačů světel - 30,4 %, používání energetických tarifů - 32,8 %, vyhýbání se režimu "stand by" u spotřební elektroniky/spotřebičů - 22,8 %. Využívání obnovitelných zdrojů energie zůstává minimální - 10,2 % v malých a středních podnicích (Stępnikowski A. 2015, source URL: </w:t>
      </w:r>
      <w:hyperlink r:id="rId8">
        <w:r w:rsidDel="00000000" w:rsidR="00000000" w:rsidRPr="00000000">
          <w:rPr>
            <w:rFonts w:ascii="Times New Roman" w:cs="Times New Roman" w:eastAsia="Times New Roman" w:hAnsi="Times New Roman"/>
            <w:color w:val="0000ff"/>
            <w:sz w:val="24"/>
            <w:szCs w:val="24"/>
            <w:u w:val="single"/>
            <w:rtl w:val="0"/>
          </w:rPr>
          <w:t xml:space="preserve">13_4_2015.pdf (edukacjaustawicznadoroslych.eu)</w:t>
        </w:r>
      </w:hyperlink>
      <w:r w:rsidDel="00000000" w:rsidR="00000000" w:rsidRPr="00000000">
        <w:rPr>
          <w:rFonts w:ascii="Times New Roman" w:cs="Times New Roman" w:eastAsia="Times New Roman" w:hAnsi="Times New Roman"/>
          <w:sz w:val="24"/>
          <w:szCs w:val="24"/>
          <w:rtl w:val="0"/>
        </w:rPr>
        <w:t xml:space="preserve">). Pozitivní postoje k ochraně životního prostředí jsou spíše deklarativní, neboť jen o málo více než polovina z nich nepřemýšlí o důsledcích své činnosti pro životní prostředí. Pouze 17 % malých a středních podniků se považuje za ekologicky odpovědné, zatímco 38 % je ekologicky skeptických (zdroj URL: </w:t>
      </w:r>
      <w:hyperlink r:id="rId9">
        <w:r w:rsidDel="00000000" w:rsidR="00000000" w:rsidRPr="00000000">
          <w:rPr>
            <w:rFonts w:ascii="Times New Roman" w:cs="Times New Roman" w:eastAsia="Times New Roman" w:hAnsi="Times New Roman"/>
            <w:color w:val="0000ff"/>
            <w:sz w:val="24"/>
            <w:szCs w:val="24"/>
            <w:u w:val="single"/>
            <w:rtl w:val="0"/>
          </w:rPr>
          <w:t xml:space="preserve">Polish SMEs don't use RES or electric cars - here are the reasons (android.com.pl)</w:t>
        </w:r>
      </w:hyperlink>
      <w:r w:rsidDel="00000000" w:rsidR="00000000" w:rsidRPr="00000000">
        <w:rPr>
          <w:rFonts w:ascii="Times New Roman" w:cs="Times New Roman" w:eastAsia="Times New Roman" w:hAnsi="Times New Roman"/>
          <w:sz w:val="24"/>
          <w:szCs w:val="24"/>
          <w:rtl w:val="0"/>
        </w:rPr>
        <w:t xml:space="preserve">. Pro studenty je obtížné takové chování následovat.</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průzkumu TNS OBOP (2021) vyplývá, že pouze 9 % Poláků věci opravuje a naprostá většina z nás se orientuje na spotřebu a nákup nových výrobků dlouhodobé spotřeby (přes 70 %). Pouze 1 % uvádí, že nakupuje recyklované výrobky. Tyto předpoklady je třeba zohlednit při vzdělávání studentů, a to jak ve školách, tak na pracovištích.</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třeba zvážit a pečlivě zvolit nejen témata, ale také metody a formy environmentální výchovy. V těchto souvislostech vzdělávání a vyučování se vyplatí také experimentovat, k čemuž transformační výchova vybízí. Ve školách by mělo dojít k odklonu od klasické výuky formou přednášek ke vzdělávání v praxi (v terénu), a k aktivním a experimentálním metodám.</w:t>
      </w:r>
    </w:p>
    <w:p w:rsidR="00000000" w:rsidDel="00000000" w:rsidP="00000000" w:rsidRDefault="00000000" w:rsidRPr="00000000" w14:paraId="00000008">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Shrnutí</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Environmentální výchova je důležitou součástí vzdělávání, jehož cílem je rozvíjet společnost, která přijímá "interdisciplinární principy udržitelného rozvoje země, umí posoudit stav ekologické bezpečnosti a podniknout kroky k jejímu zlepšení a je si vědoma potřeby pečovat o společné kulturní a přírodní dědictví". Je také základní podmínkou pro změnu společenského chování a praxe směrem k modelu udržitelné spotřeby, včetně poskytnutí prostoru pro reflexi a moderování společenské diskuse o možnostech změny životního stylu. Vzhledem k horizontálnímu charakteru problematiky a potřebě zapojit do vzdělávacích aktivit mnoho aktérů a zainteresovaných stran PEP 2030 zároveň předpokládá vypracování strategického akčního plánu pro environmentální výchovu (v tuto chvíli se na něm pracuje). </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Environmentální výchova je celoživotní a mnohostranný proces, který zahrnuje formální a neformální vzdělávání v tematických oblastech zahrnutých ve strategii PEP 2030, jakož i podporu realizace projektů souvisejících se vzděláváním, které však musí být podpořeny přístupem ke spolehlivým zdrojům znalostí o stavu životního prostředí a využitím moderních technologických výukových metod a nástrojů.</w:t>
      </w:r>
    </w:p>
    <w:sectPr>
      <w:headerReference r:id="rId10"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243BE2"/>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Hypertextovodkaz">
    <w:name w:val="Hyperlink"/>
    <w:uiPriority w:val="99"/>
    <w:unhideWhenUsed w:val="1"/>
    <w:rsid w:val="00243BE2"/>
    <w:rPr>
      <w:color w:val="0000ff"/>
      <w:u w:val="single"/>
    </w:rPr>
  </w:style>
  <w:style w:type="paragraph" w:styleId="Normlnweb">
    <w:name w:val="Normal (Web)"/>
    <w:basedOn w:val="Normln"/>
    <w:uiPriority w:val="99"/>
    <w:semiHidden w:val="1"/>
    <w:unhideWhenUsed w:val="1"/>
    <w:rsid w:val="00243BE2"/>
    <w:pPr>
      <w:spacing w:after="100" w:afterAutospacing="1" w:before="100" w:beforeAutospacing="1" w:line="240" w:lineRule="auto"/>
    </w:pPr>
    <w:rPr>
      <w:rFonts w:ascii="Times New Roman" w:cs="Times New Roman" w:eastAsia="Times New Roman" w:hAnsi="Times New Roman"/>
      <w:sz w:val="24"/>
      <w:szCs w:val="24"/>
      <w:lang w:eastAsia="pl-PL"/>
    </w:rPr>
  </w:style>
  <w:style w:type="paragraph" w:styleId="Pa7" w:customStyle="1">
    <w:name w:val="Pa7"/>
    <w:basedOn w:val="Normln"/>
    <w:next w:val="Normln"/>
    <w:uiPriority w:val="99"/>
    <w:rsid w:val="00243BE2"/>
    <w:pPr>
      <w:autoSpaceDE w:val="0"/>
      <w:autoSpaceDN w:val="0"/>
      <w:adjustRightInd w:val="0"/>
      <w:spacing w:after="0" w:line="241" w:lineRule="atLeast"/>
    </w:pPr>
    <w:rPr>
      <w:rFonts w:ascii="Calibri" w:cs="Calibri" w:hAnsi="Calibri"/>
      <w:sz w:val="24"/>
      <w:szCs w:val="24"/>
    </w:rPr>
  </w:style>
  <w:style w:type="character" w:styleId="A3" w:customStyle="1">
    <w:name w:val="A3"/>
    <w:uiPriority w:val="99"/>
    <w:rsid w:val="00243BE2"/>
    <w:rPr>
      <w:i w:val="1"/>
      <w:iCs w:val="1"/>
      <w:color w:val="000000"/>
      <w:sz w:val="22"/>
      <w:szCs w:val="22"/>
    </w:rPr>
  </w:style>
  <w:style w:type="paragraph" w:styleId="Pa9" w:customStyle="1">
    <w:name w:val="Pa9"/>
    <w:basedOn w:val="Normln"/>
    <w:next w:val="Normln"/>
    <w:uiPriority w:val="99"/>
    <w:rsid w:val="00243BE2"/>
    <w:pPr>
      <w:autoSpaceDE w:val="0"/>
      <w:autoSpaceDN w:val="0"/>
      <w:adjustRightInd w:val="0"/>
      <w:spacing w:after="0" w:line="241" w:lineRule="atLeast"/>
    </w:pPr>
    <w:rPr>
      <w:rFonts w:ascii="Palatino Linotype" w:hAnsi="Palatino Linotype"/>
      <w:sz w:val="24"/>
      <w:szCs w:val="24"/>
    </w:rPr>
  </w:style>
  <w:style w:type="character" w:styleId="Sledovanodkaz">
    <w:name w:val="FollowedHyperlink"/>
    <w:basedOn w:val="Standardnpsmoodstavce"/>
    <w:uiPriority w:val="99"/>
    <w:semiHidden w:val="1"/>
    <w:unhideWhenUsed w:val="1"/>
    <w:rsid w:val="002F37E2"/>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android.com.pl/artykuly/346285-polskie-male-i-srednie-firmy-nie-korzystaja-z-oze-ani-z-aut-elektrycznych/"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pl/web/edukacja-i-nauka/tresci-dotyczace-edukacji-ekologicznej-obecne-w-polskich-szkolach" TargetMode="External"/><Relationship Id="rId8" Type="http://schemas.openxmlformats.org/officeDocument/2006/relationships/hyperlink" Target="https://edukacjaustawicznadoroslych.eu/images/2015/4/13_4_2015.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YBIxpO3w6/9tZKJ6TZpP6PmXg==">CgMxLjA4AHIhMXNLcVF6aVNkMTUzeXhUd1p4dThMVnp1bWw4VjFBZmVZ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2023-02-06T13:51:00Z</dcterms:created>
  <dc:creator>Andrzej Stępnikowski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a2abf755d835ff63b7c9ba66cf20d89824c8416e13e3a6ca309f8ac2205c1cd6</vt:lpwstr>
  </property>
</Properties>
</file>