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="360" w:lineRule="auto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Dr. Arkadiusz Michał Kowalski, prof. SGH </w:t>
        <w:tab/>
        <w:tab/>
        <w:tab/>
        <w:tab/>
        <w:tab/>
        <w:t xml:space="preserve">2022-08-12</w:t>
      </w:r>
    </w:p>
    <w:p w:rsidR="00000000" w:rsidDel="00000000" w:rsidP="00000000" w:rsidRDefault="00000000" w:rsidRPr="00000000" w14:paraId="00000002">
      <w:pPr>
        <w:spacing w:after="120" w:line="360" w:lineRule="auto"/>
        <w:ind w:firstLine="708"/>
        <w:jc w:val="center"/>
        <w:rPr>
          <w:rFonts w:ascii="Times New Roman" w:cs="Times New Roman" w:eastAsia="Times New Roman" w:hAnsi="Times New Roman"/>
          <w:b w:val="1"/>
          <w:color w:val="201f1e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01f1e"/>
          <w:sz w:val="40"/>
          <w:szCs w:val="40"/>
          <w:rtl w:val="0"/>
        </w:rPr>
        <w:t xml:space="preserve">Priemyselné klastre ako nástroj implementácie stratégie European Green Deal</w:t>
      </w:r>
    </w:p>
    <w:p w:rsidR="00000000" w:rsidDel="00000000" w:rsidP="00000000" w:rsidRDefault="00000000" w:rsidRPr="00000000" w14:paraId="00000003">
      <w:pPr>
        <w:spacing w:after="120" w:line="360" w:lineRule="auto"/>
        <w:ind w:firstLine="708"/>
        <w:jc w:val="center"/>
        <w:rPr>
          <w:rFonts w:ascii="Times New Roman" w:cs="Times New Roman" w:eastAsia="Times New Roman" w:hAnsi="Times New Roman"/>
          <w:b w:val="1"/>
          <w:color w:val="201f1e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V Európskej únii prebiehajú rôzne politické a ekonomické iniciatívy na dosiahnutie klimatickej neutrality. Jedna z aktivít v tejto oblasti bola prijatá v roku 2019. Európska zelená dohoda, ktorá reaguje na globálne výzvy zhoršovania životného prostredia a klimatických zmien. Jeho cieľom je transformovať európske hospodárstva na moderné, energeticky účinné a klimaticky neutrálne systémy. Európska zelená dohoda aktualizuje a rozširuje predchádzajúci záväzok Európskej komisie bojovať proti zmene klímy a environmentálnym výzvam. Zároveň je zámerom Európskej komisie, aby klastre zohrávali dôležitú úlohu pri implementácii stratégie European Green Deal, najmä v malých a stredných podnikoch.</w:t>
      </w:r>
    </w:p>
    <w:p w:rsidR="00000000" w:rsidDel="00000000" w:rsidP="00000000" w:rsidRDefault="00000000" w:rsidRPr="00000000" w14:paraId="00000005">
      <w:pPr>
        <w:spacing w:after="120" w:line="360" w:lineRule="auto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Koncept klastrov v ekonomických vedách sformuloval koncom 80. a začiatkom 90. rokov 20. storočia M. Porter, ktorý ich definoval ako „geografické zhluky vzájomne prepojených spoločností, špecializovaných dodávateľov, servisných jednotiek, spoločností v príbuzných odvetviach a príbuzných inštitúcií (napr. univerzity, normalizačné orgány a priemyselné asociácie) v určitých oblastiach, ktoré si navzájom konkurujú, ale aj spolupracujú." V posledných dvoch desaťročiach došlo k prudkému nárastu významu a popularity klastrov, a to ako obchodného modelu na organizáciu hospodárskej činnosti, tak aj ako účinného nástroja v rámci hospodárskej politiky štátu. Najznámejším príkladom klastra na svete je Silicon Valley v Kalifornii. V Poľsku existuje niekoľko stoviek klastrových iniciatív, jednou z najväčších je Letecká dolina v Podkarpatskom vojvodstve.</w:t>
      </w:r>
    </w:p>
    <w:p w:rsidR="00000000" w:rsidDel="00000000" w:rsidP="00000000" w:rsidRDefault="00000000" w:rsidRPr="00000000" w14:paraId="00000007">
      <w:pPr>
        <w:spacing w:after="120" w:line="360" w:lineRule="auto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Význam klastrov v oblasti implementácie Európskeho zeleného dohovoru súvisí s pozorovaným zeleným preorientovaním klastrov (Sjøtun, Njøs, 2019) a skutočnosťou, že klastre boli Európskou komisiou uznané ako realizátori Európskeho zeleného dohovoru, najmä v malých a stredných podnikoch. Spolupráca v rámci klastrov pre trvalo udržateľný rozvoj a vytváranie ekoinovácií môže mať rôzne formy a mať rôzne ciele, okrem iného: získavanie energie z obnoviteľných zdrojov, alternatívne spôsoby získavania a využívania surovín, riadenie v uzavretom okruhu, vytváranie eko- inovácie a výroba biopotravín (Kowalski 2013). Potvrdením úlohy klastrových štruktúr v tomto smere je skutočnosť, že poskytujú možnosť prekonávať bariéry pri implementácii základných výrobných odporúčaní v oblasti zelených technológií malými a strednými podnikmi. Rozvoj klastrových iniciatív vedie k výskytu „multiplikačných efektov pro-environmentálnych konkurenčných výhod a rozvoju environmentalizmu v regióne“ (Skawińska, Zalewski, 2009, s. 29-33). Podľa správy (Barsoumian et al. 2011) vypracovanej pre European Cluster Observatory, vplyv klastrov na environmentálne priority možno pristupovať dvoma spôsobmi:</w:t>
      </w:r>
    </w:p>
    <w:p w:rsidR="00000000" w:rsidDel="00000000" w:rsidP="00000000" w:rsidRDefault="00000000" w:rsidRPr="00000000" w14:paraId="00000009">
      <w:pPr>
        <w:spacing w:after="120"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1) V krajinách, ktoré majú dobre rozvinutý priemysel čistých technológií, sa budujú klastre, aby sa ďalej zlepšila ekonomická konkurencieschopnosť sektora ekologických inovácií,</w:t>
      </w:r>
    </w:p>
    <w:p w:rsidR="00000000" w:rsidDel="00000000" w:rsidP="00000000" w:rsidRDefault="00000000" w:rsidRPr="00000000" w14:paraId="0000000A">
      <w:pPr>
        <w:spacing w:after="120"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2) Dochádza k horizontálnej integrácii aktivít klastrových organizácií pôsobiacich v</w:t>
      </w:r>
    </w:p>
    <w:p w:rsidR="00000000" w:rsidDel="00000000" w:rsidP="00000000" w:rsidRDefault="00000000" w:rsidRPr="00000000" w14:paraId="0000000B">
      <w:pPr>
        <w:spacing w:after="120"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v rôznych sektoroch na účely ekologických inovácií alebo životného prostredia.</w:t>
      </w:r>
    </w:p>
    <w:p w:rsidR="00000000" w:rsidDel="00000000" w:rsidP="00000000" w:rsidRDefault="00000000" w:rsidRPr="00000000" w14:paraId="0000000C">
      <w:pPr>
        <w:spacing w:after="120"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20"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Podľa Dimitrova a kol. (2007) je z hľadiska trvalo udržateľného rozvoja najvýznamnejším typom priemyselných klastrov „eko-klaster“, v ktorom skupina geograficky oddelených firiem spolupracuje s cieľom minimalizovať vplyv ekonomickej aktivity na prírodné prostredie. K tomuto typu klastrovej štruktúry sa pristupuje ako k umelému „ekosystému“ založenému na koncepte „priemyselnej ekológie“, ktorý predpokladá zmenu z lineárnych výrobných procesov (v ktorých sa suroviny premieňajú na produkty, vedľajšie produkty a odpad) na obehové výrobné procesy (v ktorom sa použité produkty, vedľajšie produkty a odpad jedného procesu používajú ako vstupy pre iný proces), napodobňujúce prírodné zdroje ekosystému. V. Anbumozhi (2008, s. 2) používa pojem Eco-Industrial Clusters (EIC), ktorý definuje ako „ekonomické spoločenstvá; geografické klastre prepojených spoločností v špecializovanej oblasti, ktoré spolupracujú a s komunitou efektívne zdieľajú zdroje (informácie, materiály, energia, voda, infraštruktúra, financie atď.), čo vedie k zlepšeniu kvality životného prostredia, ekonomickým výhodám a spravodlivému rozvoju ľudských zdrojov pre podniky aj pre komunitu." Efektívne eko-priemyselné klastre sú tvorené spoločnosťami, ktoré spolupracujú nielen na znižovaní odpadu a znečistenia, ale tiež hľadajú a implementujú všetky možné typy inovácií na vývoj procesov s nízkymi alebo nulovými emisiami uhlíka a vytváranie inovatívnych ekologických produktov.</w:t>
      </w:r>
    </w:p>
    <w:p w:rsidR="00000000" w:rsidDel="00000000" w:rsidP="00000000" w:rsidRDefault="00000000" w:rsidRPr="00000000" w14:paraId="0000000E">
      <w:pPr>
        <w:spacing w:after="120"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20"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line="360" w:lineRule="auto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Bibliografia</w:t>
      </w:r>
    </w:p>
    <w:p w:rsidR="00000000" w:rsidDel="00000000" w:rsidP="00000000" w:rsidRDefault="00000000" w:rsidRPr="00000000" w14:paraId="00000011">
      <w:pPr>
        <w:spacing w:after="120" w:line="360" w:lineRule="auto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• Barsoumian S., Riggio R., Severin A., van der Spek T. (2011), Ekologické inovácie v klastrových organizáciách v chemickom a textilnom odevno-koženskom sektore, Greenovate! Europe EEIG, Brusel 2011.</w:t>
      </w:r>
    </w:p>
    <w:p w:rsidR="00000000" w:rsidDel="00000000" w:rsidP="00000000" w:rsidRDefault="00000000" w:rsidRPr="00000000" w14:paraId="00000012">
      <w:pPr>
        <w:spacing w:after="120" w:line="360" w:lineRule="auto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• Dimitrov V., Lagioia G., Gallucci T. (2007), Manažérske faktory pre hodnotenie prístupu eko-klastrovania, "Industrial Management &amp; Data Systems", roč. 107, Iss. 9, str. 1336.</w:t>
      </w:r>
    </w:p>
    <w:p w:rsidR="00000000" w:rsidDel="00000000" w:rsidP="00000000" w:rsidRDefault="00000000" w:rsidRPr="00000000" w14:paraId="00000013">
      <w:pPr>
        <w:spacing w:after="120" w:line="360" w:lineRule="auto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• Skawińska, R.I.Zalewski, Podnikateľské klastre v rozvoji konkurencieschopnosti a inovácií regiónov. WorldEuropePoland, Poľské ekonomické vydavateľstvo, Varšava 2009, s. 29-33.</w:t>
      </w:r>
    </w:p>
    <w:p w:rsidR="00000000" w:rsidDel="00000000" w:rsidP="00000000" w:rsidRDefault="00000000" w:rsidRPr="00000000" w14:paraId="00000014">
      <w:pPr>
        <w:spacing w:after="120" w:line="360" w:lineRule="auto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• Sjøtun, S. G., &amp; Njøs, R. (2019). Zelené preorientovanie klastrov a úloha politiky: „normatívna“ a „neutrálna“ cesta. Európske plánovacie štúdie, 27 (12), 2411-2430.</w:t>
      </w:r>
    </w:p>
    <w:p w:rsidR="00000000" w:rsidDel="00000000" w:rsidP="00000000" w:rsidRDefault="00000000" w:rsidRPr="00000000" w14:paraId="00000015">
      <w:pPr>
        <w:spacing w:after="120" w:line="360" w:lineRule="auto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• Kowalski A.M. (2013). Význam klastrov pre inovatívnosť ekonomiky v Poľsku, Varšava: Szkoła Główna Handlowa w Warszawie - Oficyna Wydawnicza.</w:t>
      </w:r>
    </w:p>
    <w:p w:rsidR="00000000" w:rsidDel="00000000" w:rsidP="00000000" w:rsidRDefault="00000000" w:rsidRPr="00000000" w14:paraId="00000016">
      <w:pPr>
        <w:spacing w:after="120" w:line="360" w:lineRule="auto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• Erkman S. (1997), Priemyselná ekológia: historický pohľad, Journal of Cleaner Production, 1997, Vol. 1/2, č. 5, s. 1-10.</w:t>
      </w:r>
    </w:p>
    <w:p w:rsidR="00000000" w:rsidDel="00000000" w:rsidP="00000000" w:rsidRDefault="00000000" w:rsidRPr="00000000" w14:paraId="00000017">
      <w:pPr>
        <w:spacing w:after="12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• Anbumozhi V. (2008), Eko-priemyselné klastre: Posilnenie regionálneho ekonomického rozvoja prostredníctvom environmentálnych väzieb, „Policy Brief“, č. 8, jún 2008, Inštitút pre globálne environmentálne stratégie, Kamiyamaguchi, Hayama, Kanagawa Japonsko 2008.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826F4"/>
    <w:pPr>
      <w:spacing w:after="200" w:line="276" w:lineRule="auto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FootnoteText">
    <w:name w:val="footnote text"/>
    <w:aliases w:val="Podrozdział,Fußnote,Podrozdzia3,Przypis,-E Fuﬂnotentext,Fuﬂnotentext Ursprung,Fußnotentext Ursprung,-E Fußnotentext,Tekst przypisu,Char,Footnote text,Schriftart: 9 pt,Schriftart: 10 pt,Schriftart: 8 pt,o,fn,footnote text, Char"/>
    <w:basedOn w:val="Normal"/>
    <w:link w:val="FootnoteTextChar"/>
    <w:rsid w:val="009826F4"/>
    <w:pPr>
      <w:spacing w:after="0" w:line="220" w:lineRule="exact"/>
      <w:ind w:firstLine="301"/>
      <w:jc w:val="both"/>
    </w:pPr>
    <w:rPr>
      <w:rFonts w:ascii="Times New Roman" w:cs="Times New Roman" w:eastAsia="Times New Roman" w:hAnsi="Times New Roman"/>
      <w:sz w:val="18"/>
      <w:szCs w:val="20"/>
      <w:lang w:eastAsia="pl-PL"/>
    </w:rPr>
  </w:style>
  <w:style w:type="character" w:styleId="FootnoteTextChar" w:customStyle="1">
    <w:name w:val="Footnote Text Char"/>
    <w:aliases w:val="Podrozdział Char,Fußnote Char,Podrozdzia3 Char,Przypis Char,-E Fuﬂnotentext Char,Fuﬂnotentext Ursprung Char,Fußnotentext Ursprung Char,-E Fußnotentext Char,Tekst przypisu Char,Char Char,Footnote text Char,Schriftart: 9 pt Char,o Char"/>
    <w:basedOn w:val="DefaultParagraphFont"/>
    <w:link w:val="FootnoteText"/>
    <w:rsid w:val="009826F4"/>
    <w:rPr>
      <w:rFonts w:ascii="Times New Roman" w:cs="Times New Roman" w:eastAsia="Times New Roman" w:hAnsi="Times New Roman"/>
      <w:sz w:val="18"/>
      <w:szCs w:val="20"/>
      <w:lang w:eastAsia="pl-PL"/>
    </w:rPr>
  </w:style>
  <w:style w:type="character" w:styleId="FootnoteReference">
    <w:name w:val="footnote reference"/>
    <w:aliases w:val="Footnote symbol,Footnote,Footnote Reference Number,Times 10 Point,Exposant 3 Point,Odwołanie przypisu,Footnote reference number,note TESI,SUPERS,EN Footnote Reference, Exposant 3 Point,Appel note de bas de p,Nota,Ref"/>
    <w:uiPriority w:val="99"/>
    <w:rsid w:val="009826F4"/>
    <w:rPr>
      <w:rFonts w:ascii="Times New Roman" w:cs="Times New Roman" w:hAnsi="Times New Roman"/>
      <w:color w:val="auto"/>
      <w:sz w:val="22"/>
      <w:vertAlign w:val="superscript"/>
    </w:rPr>
  </w:style>
  <w:style w:type="paragraph" w:styleId="ListParagraph">
    <w:name w:val="List Paragraph"/>
    <w:basedOn w:val="Normal"/>
    <w:qFormat w:val="1"/>
    <w:rsid w:val="009826F4"/>
    <w:pPr>
      <w:ind w:left="720"/>
      <w:contextualSpacing w:val="1"/>
    </w:pPr>
    <w:rPr>
      <w:rFonts w:ascii="Calibri" w:cs="Times New Roman" w:eastAsia="Times New Roman" w:hAnsi="Calibri"/>
      <w:lang w:eastAsia="pl-PL"/>
    </w:rPr>
  </w:style>
  <w:style w:type="character" w:styleId="longtext" w:customStyle="1">
    <w:name w:val="long_text"/>
    <w:basedOn w:val="DefaultParagraphFont"/>
    <w:rsid w:val="009826F4"/>
  </w:style>
  <w:style w:type="character" w:styleId="hps" w:customStyle="1">
    <w:name w:val="hps"/>
    <w:basedOn w:val="DefaultParagraphFont"/>
    <w:rsid w:val="009826F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DBdFNig3THNm5JDlLDnaYpYmcg==">CgMxLjA4AHIhMXVNbEFsbjREYkhJRUVLUE9hbmhMUVhyT3dLbUZGcmJB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2023-02-08T13:38:00Z</dcterms:created>
  <dc:creator>Arkadiusz Kowalski</dc:creator>
</cp:coreProperties>
</file>