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Dr. Arkadiusz Michał Kowalski, prof. SGH </w:t>
        <w:tab/>
        <w:tab/>
        <w:tab/>
        <w:tab/>
        <w:tab/>
        <w:t xml:space="preserve">  2022-08-12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201f1e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f1e"/>
          <w:sz w:val="40"/>
          <w:szCs w:val="40"/>
          <w:rtl w:val="0"/>
        </w:rPr>
        <w:t xml:space="preserve">Balíček „Pripravený pre 55“ (vhodný pre 55)</w:t>
      </w:r>
    </w:p>
    <w:p w:rsidR="00000000" w:rsidDel="00000000" w:rsidP="00000000" w:rsidRDefault="00000000" w:rsidRPr="00000000" w14:paraId="0000000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V júli 2021 Európska komisia predstavila súbor legislatívnych návrhov zameraných na zosúladenie nariadení EÚ so stanovenými cieľmi v Európskej zelenej dohode. Balík, s názvom „Ready for 55“ („Fit for 55“) pozostáva z viac ako tucta legislatívnych návrhov, ktorých prijatie a implementácia má za cieľ znížiť emisie skleníkových plynov v krajinách EÚ do roku 2030 o 55 % v porovnaní s rokom 1990. Legislatívne návrhy ktoré tvoria „Ready for 55“ sa týkajú revízií existujúcich smerníc a nariadení, ako aj zavedenia nových mechanizmov.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201f1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1f1e"/>
          <w:rtl w:val="0"/>
        </w:rPr>
        <w:t xml:space="preserve">V prípade balíka „Ready for 55“ sa budeme musieť popasovať s komplikovaným legislatívnym procesom. Po prvé, položky uvedené v balíku sú len návrhy, ktoré na to, aby sa stali súčasťou európskeho právneho poriadku, musia byť prijaté členskými štátmi v súlade s platným legislatívnym postupom. Najdôležitejšie oblasti zahrnuté v balíku sú: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komplexné prepracovanie existujúceho systému obchodovania s emisiami v EÚ (ETS) s cieľom dosiahnuť celkové zníženie emisií v príslušných sektoroch o 61 % do roku 2030 v porovnaní s rokom 2005 sprísnením súčasných predpisov a rozšírením systému.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mení cieľ zníženia emisií EÚ do roku 2030 zo súčasných 29 % na 40 % (v porovnaní s rokom 2005) v odvetviach, na ktoré sa nevzťahuje systém obchodovania s emisiami EÚ ani nariadenie o využívaní pôdy, zmene využívania pôdy a lesnom hospodárstve (LULUCF). Návrh nariadenia zvyšuje a aktualizuje národné ciele v súlade s týmto novým predpokladom. Výpočet národných cieľov bude naďalej zohľadňovať HDP na obyvateľa s obmedzenými, cielenými úpravami na racionalizáciu nákladov.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zvýšenie príspevku sektora využívania pôdy, zmeny využívania pôdy a lesného hospodárstva (LULUCF) ku klimatickým cieľom EÚ snahou zvrátiť súčasný klesajúci trend v sekvestrácii uhlíka a zvýšiť prirodzené odstraňovanie emisií v celej EÚ. Z novely súčasnej právnej úpravy okrem iného vyplýva: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stanovenie cieľa čistej absorpcie skleníkových plynov EÚ do roku 2030 na úrovni aspoň 310 miliónov ton ekvivalentu oxidu uhličitého,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zjednodušenie predpisov o fakturácii a dodržiavaní predpisov a zlepšenie monitorovania,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rozšírenie rozsahu pôsobnosti nariadenia od roku 2031 tak, aby zahŕňalo aj emisie iných ako CO2 z poľnohospodárskeho sektora,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stanovenie cieľa EÚ, ktorým je klimatická neutralita do roku 2035 v sektore pôdy.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zmenu a doplnenie smernice o energii z obnoviteľných zdrojov s cieľom zvýšiť súčasný cieľ EÚ týkajúci sa podielu obnoviteľných zdrojov energie na celkovom energetickom mixe z 32 % na najmenej 40 % do roku 2030. Navrhuje tiež zaviesť alebo zlepšiť sektorové čiastkové ciele. a opatrenia vo všetkých odvetviach, s osobitným zameraním na tie, kde je integrácia obnoviteľných zdrojov energie pomalšia, najmä v oblasti dopravy, stavebníctva a priemyslu.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zmenu a doplnenie súčasnej smernice o energetickej účinnosti s cieľom zvýšiť súčasný cieľ celej EÚ z 32,5 % na 36 % pre konečnú spotrebu energie a na 39 % pre spotrebu primárnej energie. Predpokladá tiež sprísnenie ročných povinností v oblasti úspor energie a zavedenie nových predpisov na zníženie spotreby energie v budovách verejného sektora, ako aj cielené opatrenia na ochranu zraniteľných spotrebiteľov.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zmenu a doplnenie existujúcich predpisov s cieľom urýchliť rozvoj infraštruktúry na nabíjanie alebo tankovanie vozidiel využívajúcich alternatívne palivá. Návrh sa vzťahuje na všetky druhy dopravy a stanovuje ciele pre rozvoj infraštruktúry a rieši otázku interoperability a jednoduchosti využívania infraštruktúry.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zmenu predpisov o emisiách CO2 z osobných a dodávkových vozidiel. Celoeurópske ciele zníženia emisií do roku 2030 sa majú zvýšiť a novým cieľom na rok 2035 je dosiahnuť 100 %. V praxi to znamená, že od roku 2035 sa v Európskej únii už nebudú môcť uvádzať na trh žiadne autá ani dodávky so spaľovacími motormi. Návrhy sú zamerané okrem iného na stimuláciu inovácií.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zmenu a doplnenie smernice Rady o zdaňovaní energetických produktov a elektriny, ktorým sa ustanovuje: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Zosúladenie zdaňovania s politikami EÚ v oblasti energetiky, životného prostredia a klímy,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Ochrana a zefektívnenie vnútorného trhu EÚ aktualizáciou rozsahu energetických produktov a štruktúry sadzieb a racionálnejším využívaním daňových výnimiek a znížení členskými štátmi,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Udržiavanie schopnosti členských štátov vytvárať fiškálne príjmy.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zavedenie mechanizmu úpravy cien na hraniciach s ohľadom na CO2 (CBAM), aby sa predišlo tomu, že snahy EÚ o znižovanie budú zmarené zvýšenými emisiami mimo jej hraníc v dôsledku premiestnenia výroby mimo Európy alebo zvýšeným dovozom produktov náročných na uhlík.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projektu ReFuelEU Aviation, ktorý má pomôcť znížiť environmentálnu stopu odvetvia letectva a zapojiť ho do plnenia cieľov EÚ v oblasti klímy. Je to preto, že udržateľné letecké palivá, ako sú pokročilé biopalivá a e-palivá, môžu výrazne znížiť emisie z leteckej dopravy.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na používanie obnoviteľných a nízkouhlíkových palív v námornej doprave, od ktorého sa očakáva, že do roku 2050 zníži emisie skleníkových plynov vznikajúce zo spotreby energie na lodiach až o 75 %. Napriek pokroku v posledných rokoch sa námorný sektor stále takmer spolieha na využíva výlučne fosílne palivá a je významným zdrojom emisií skleníkových plynov a iných škodlivých znečisťujúcich látok.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Návrh sociálneho klimatického fondu, ktorý sa zaoberá sociálnymi a distribučnými dopadmi novonavrhovaného systému obchodovania s emisiami pre stavebníctvo a cestnú dopravu. Očakáva sa, že fond v rokoch 2025 až 2032 poskytne 72,2 miliardy eur na kompenzáciu očakávaného nerovnakého vplyvu nového systému na členské štáty a v rámci nich. Na základe sociálno-klimatických plánov vypracovaných členskými štátmi bude fond podporovať aktivity a investície: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V prospech znevýhodnených: domácnosti, mikropodniky, užívatelia dopravy a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1f1e"/>
          <w:sz w:val="22"/>
          <w:szCs w:val="22"/>
          <w:u w:val="none"/>
          <w:shd w:fill="auto" w:val="clear"/>
          <w:vertAlign w:val="baseline"/>
          <w:rtl w:val="0"/>
        </w:rPr>
        <w:t xml:space="preserve">Zvyšovanie energetickej efektívnosti budov, dekarbonizácia vykurovacích a chladiacich systémov v budovách, využívanie obnoviteľnej energie a prístup k nulovej a nízkouhlíkovej mobilite a doprave.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3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642F2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FooterText"/>
    <w:basedOn w:val="Normal"/>
    <w:link w:val="ListParagraphChar"/>
    <w:uiPriority w:val="34"/>
    <w:qFormat w:val="1"/>
    <w:rsid w:val="009642F2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ListParagraphChar" w:customStyle="1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 w:val="1"/>
    <w:locked w:val="1"/>
    <w:rsid w:val="009642F2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NOQMWk0e+Psjsy8oNfkQTE0b7g==">CgMxLjA4AHIhMUFnR2EzcXU1Z0VaRllBZ1Fsdl83VjcteG9JN0h3UTJ4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2023-02-15T13:38:00Z</dcterms:created>
  <dc:creator>Julia Munik</dc:creator>
</cp:coreProperties>
</file>