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line="360" w:lineRule="auto"/>
        <w:jc w:val="center"/>
        <w:rPr>
          <w:rFonts w:ascii="Times New Roman" w:cs="Times New Roman" w:eastAsia="Times New Roman" w:hAnsi="Times New Roman"/>
          <w:b w:val="1"/>
          <w:sz w:val="40"/>
          <w:szCs w:val="4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40"/>
          <w:szCs w:val="40"/>
          <w:rtl w:val="0"/>
        </w:rPr>
        <w:t xml:space="preserve">Česká iniciatíva v oblasti e-mobility</w:t>
      </w:r>
    </w:p>
    <w:p w:rsidR="00000000" w:rsidDel="00000000" w:rsidP="00000000" w:rsidRDefault="00000000" w:rsidRPr="00000000" w14:paraId="00000002">
      <w:pPr>
        <w:spacing w:line="360" w:lineRule="auto"/>
        <w:jc w:val="both"/>
        <w:rPr>
          <w:rFonts w:ascii="Times New Roman" w:cs="Times New Roman" w:eastAsia="Times New Roman" w:hAnsi="Times New Roman"/>
          <w:sz w:val="2"/>
          <w:szCs w:val="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line="360" w:lineRule="auto"/>
        <w:ind w:firstLine="708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Dopyt po elektromobilite alebo e-mobilite celosvetovo stúpa. Zatiaľ čo stredná Európa sa pomaly dostáva na palubu, Česká republika mala plán na zmenu elektromobilov, a to už od roku 2009. Pracuje sa na spoľahlivej sieti nabíjacích staníc pre elektromobily s cieľom mať jeden z najčistejších vzduchou a najtichšie frekventované cesty v Európe. Veľa krajín v Európe je pred Českou republikou, takže je čo doháňať, ale na tom sa pracuje.</w:t>
      </w:r>
    </w:p>
    <w:p w:rsidR="00000000" w:rsidDel="00000000" w:rsidP="00000000" w:rsidRDefault="00000000" w:rsidRPr="00000000" w14:paraId="00000004">
      <w:pPr>
        <w:spacing w:line="360" w:lineRule="auto"/>
        <w:ind w:firstLine="708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Verejný záujem o elektromobily od vysokej obstarávacej ceny, životnosti batérie a dojazdu vozidla je jedným z hlavných dôvodov, prečo Česká republika zaostáva za zvyškom Európy. V roku 2021 bolo približne 1,29 % nových registrácií áut na elektrické autá v porovnaní s 13,7 % v Nemecku. Vo februári minulého roku schválilo mesto Praha plán na inštaláciu viac ako 750 nabíjacích staníc pre elektromobily v priebehu nasledujúcich 4 rokov s nádejou, že o 5 rokov neskôr tu bude niekoľko tisíc nabíjacích staníc. Schválená legislatíva mala názov Všeobecný rozvoj nabíjacej infraštruktúry v hlavnom meste Praha do roku 2030. Česká republika má čo doháňať v oblasti e-mobility a nabíjacích staníc v rámci EÚ, takže ide o veľmi potrebný krok. Mestá s porovnateľným počtom obyvateľov ako Viedeň, Hamburg, Rotterdam atď. sú už vo vývoji a prechode na elektromobilitu ďaleko vpredu.</w:t>
      </w:r>
    </w:p>
    <w:p w:rsidR="00000000" w:rsidDel="00000000" w:rsidP="00000000" w:rsidRDefault="00000000" w:rsidRPr="00000000" w14:paraId="00000005">
      <w:pPr>
        <w:spacing w:line="360" w:lineRule="auto"/>
        <w:ind w:firstLine="708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Jedna z hlavných hnacích síl tohto? Zvyšovanie kvality ovzdušia v Českej republike. Sektor dopravy je najrýchlejšie rastúcim sektorom vypúšťajúcim skleníkové plyny (GHG), pričom sa očakáva, že v budúcnosti dosiahne podiel viac ako 30 % celkových emisií skleníkových plynov. Je tiež hlavným emitentom krátkodobých znečisťujúcich látok podnebia a veľkou mierou prispieva k znečisteniu ovzdušia. Približne v poslednom desaťročí zaznamenali elektrické vozidlá veľmi potrebný technologický skok vo vývoji. Teraz je lacnejšie vyrábať elektrické autá a zvýšiť ich užitočnosť a zároveň znížiť ich uhlíkovú stopu.</w:t>
      </w:r>
    </w:p>
    <w:p w:rsidR="00000000" w:rsidDel="00000000" w:rsidP="00000000" w:rsidRDefault="00000000" w:rsidRPr="00000000" w14:paraId="00000006">
      <w:pPr>
        <w:spacing w:line="36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0" distT="0" distL="0" distR="0">
            <wp:extent cx="5760720" cy="3240405"/>
            <wp:effectExtent b="0" l="0" r="0" t="0"/>
            <wp:docPr id="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line="360" w:lineRule="auto"/>
        <w:ind w:firstLine="708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Hovorme na chvíľu o spotrebiteľovi. Prečo sa spotrebitelia čoraz viac zaujímajú o elektrickú mobilitu? Odpoveď je mnohostranná, ale aj pomerne jednoduchá. Adaptácia na pandémiu COVID-19 s tým mala veľa spoločného. Spotrebitelia cestovali počas pandémie menej a stále menej cestujú, pričom ich záujem o elektrickú mobilitu neustále rastie. V snahe sledovať modely mobility spotrebiteľov a nákupné zámery od začiatku pandémie, MCI vykonala prieskum zahŕňajúci 13 000 spotrebiteľov obývajúcich 18 krajín a zistila, že 52 % ľudí, ktorí zamýšľali kúpiť si auto, uviedlo, že sa viac prikláňajú k plne elektrickému autu. plug-in hybrid, alebo hybridné auto. Spotrebitelia sa tiež naďalej vyhýbajú verejnej doprave, zatiaľ čo zdieľaná mobilita je na vzostupe.</w:t>
      </w:r>
    </w:p>
    <w:p w:rsidR="00000000" w:rsidDel="00000000" w:rsidP="00000000" w:rsidRDefault="00000000" w:rsidRPr="00000000" w14:paraId="00000008">
      <w:pPr>
        <w:spacing w:line="360" w:lineRule="auto"/>
        <w:ind w:firstLine="708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Takže teraz má Česká republika niekoľko veľkých plánov na pomoc strednej Európe pri prechode na e-mobilitu, pričom ministerstvo priemyslu a obchodu očakáva, že bude podporovať viac ekologickej mobility. Počnúc rokom 2021, ktorý bude trvať až do roku 2027, podá program Technológie a aplikácie pre konkurencieschopnosť pomocnú ruku firmám, ktoré chcú kúpiť elektrické vozidlá, nákladné autá a nabíjacie stanice s príspevkom 1 miliardy CZK a 6 miliardami CZK na verejnú nabíjaciu infraštruktúru. Pozornosť si získa aj doprava v podnikateľskom sektore s 5,4 mld. Kč z Modernizačného fondu určeného na modernizáciu verejnej dopravy. Napokon, Národný plán obnovy, s cieľom pomôcť krajine zotaviť sa po pandémii, prispel sumou 1,3 miliardy Kč. Na podporu e-mobility a tým aj na zvýšenie kvality ovzdušia v Českej republike je teda vyčlenených približne 20 miliárd korún.</w:t>
      </w:r>
    </w:p>
    <w:p w:rsidR="00000000" w:rsidDel="00000000" w:rsidP="00000000" w:rsidRDefault="00000000" w:rsidRPr="00000000" w14:paraId="00000009">
      <w:pPr>
        <w:spacing w:line="360" w:lineRule="auto"/>
        <w:ind w:firstLine="708"/>
        <w:jc w:val="both"/>
        <w:rPr/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Ako vidíte, existuje veľa faktorov, ale spolu so zvyškom Európy aj Česká republika tvrdo pracuje na tom, aby pomohla iniciatíve e-mobility. Vzhľadom na reakciu verejnosti po pandémii, posun technológií a podporu zo strany podnikateľského sektora si myslím, že je bezpečné povedať, že vytýčené ciele sa naplnia a Česká republika bude tam, kde má by</w:t>
      </w:r>
      <w:r w:rsidDel="00000000" w:rsidR="00000000" w:rsidRPr="00000000">
        <w:rPr>
          <w:rtl w:val="0"/>
        </w:rPr>
        <w:t xml:space="preserve">ť.</w:t>
      </w:r>
    </w:p>
    <w:sectPr>
      <w:headerReference r:id="rId8" w:type="default"/>
      <w:pgSz w:h="16838" w:w="11906" w:orient="portrait"/>
      <w:pgMar w:bottom="1417" w:top="1417" w:left="1417" w:right="1417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Times New Roman"/>
  <w:font w:name="Ubuntu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0A">
    <w:pPr>
      <w:rPr/>
    </w:pPr>
    <w:r w:rsidDel="00000000" w:rsidR="00000000" w:rsidRPr="00000000">
      <w:rPr>
        <w:rFonts w:ascii="Ubuntu" w:cs="Ubuntu" w:eastAsia="Ubuntu" w:hAnsi="Ubuntu"/>
      </w:rPr>
      <w:drawing>
        <wp:inline distB="114300" distT="114300" distL="114300" distR="114300">
          <wp:extent cx="5760410" cy="762000"/>
          <wp:effectExtent b="0" l="0" r="0" t="0"/>
          <wp:docPr id="3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760410" cy="7620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pl-PL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2.png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Ubuntu-regular.ttf"/><Relationship Id="rId2" Type="http://schemas.openxmlformats.org/officeDocument/2006/relationships/font" Target="fonts/Ubuntu-bold.ttf"/><Relationship Id="rId3" Type="http://schemas.openxmlformats.org/officeDocument/2006/relationships/font" Target="fonts/Ubuntu-italic.ttf"/><Relationship Id="rId4" Type="http://schemas.openxmlformats.org/officeDocument/2006/relationships/font" Target="fonts/Ubuntu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lRxiWV6aJwHXBecBvpXEfYn7/cQ==">CgMxLjA4AHIhMTRTY05ybkgtX3pWX3ZKbDRKSFlKTmxhV2QxbTBwZzNs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2022-08-03T05:46:00Z</dcterms:created>
  <dc:creator>Admin</dc:creator>
</cp:coreProperties>
</file>