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Správná praxe v oblasti materiálů pro zaměstnance společnosti: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Pokud je to možné: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a) Zmenšit velikost tisku, aby se ušetřil počet použitých listů.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b) Tisk dokumentů na obě strany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c) netiskněte články nebo dokumenty, které jsou snadno dostupné v digitální podobě.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d) Využívat elektronický tok dokumentů v rámci organizace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e) Použití více přepravních obalů - kartonové krabice, obálky.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f) Využijte použité papírové materiály jako výplň přepravních obalů - pokud neobsahují důvěrné informace!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g) Vybírejte obaly, které jsou recyklované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h) Používejte vysoušeče rukou místo papírových ručníků.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i) Používejte plastové nádoby na jídlo místo jednorázových papírových sáčků / hliníkové fólie.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j) Při úklidu pracoviště používejte místo jednorázových papírových utěrek hadříky pro opakované použití.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k) Jeden keramický kelímek na vodu z dávkovače je lepší než každý den nový plastový kelímek.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l) perlátory instalované na vodovodních kohoutcích výrazně sníží spotřebu vody.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m) Voda je potřebná pouze na začátku a na konci mytí rukou - ne po celou dobu procesu.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Uplatňujte a šiřte zásady efektivního využívání materiálů!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192AC5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FnRqh8hsVfoO+ZA+w6Bq0L2CNw==">CgMxLjA4AHIhMVJUbi0taEVMaGpiY3VQd1JLamlwYm5ldXYxQU0zWnIx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2023-09-01T12:05:00Z</dcterms:created>
  <dc:creator>Iveta HORYNOVA</dc:creator>
</cp:coreProperties>
</file>