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u w:val="single"/>
        </w:rPr>
      </w:pPr>
      <w:r w:rsidDel="00000000" w:rsidR="00000000" w:rsidRPr="00000000">
        <w:rPr>
          <w:b w:val="1"/>
          <w:u w:val="single"/>
          <w:rtl w:val="0"/>
        </w:rPr>
        <w:t xml:space="preserve">Tipy pro ekologické chování rodiny a dětí</w:t>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spacing w:line="360" w:lineRule="auto"/>
        <w:rPr/>
      </w:pPr>
      <w:r w:rsidDel="00000000" w:rsidR="00000000" w:rsidRPr="00000000">
        <w:rPr>
          <w:rtl w:val="0"/>
        </w:rPr>
        <w:t xml:space="preserve">Výchova dětí k péči o životní prostředí je důležitou rodičovskou povinností, která má zásadní význam pro jejich budoucnost. Někdy se však může zdát, že pomoc planetě je nad jejich síly. Nezapomeňte proto malé děti při jejich ekologických aktivitách povzbuzovat, aby šly krok za krokem. I drobnosti, které mohou udělat, mají opravdu velký význam. Zde je několik tipů, jak přimět děti, aby trochu pomohly a vyhnuly se zbytečnému plýtvání a utrácení.</w:t>
      </w:r>
    </w:p>
    <w:p w:rsidR="00000000" w:rsidDel="00000000" w:rsidP="00000000" w:rsidRDefault="00000000" w:rsidRPr="00000000" w14:paraId="00000004">
      <w:pPr>
        <w:spacing w:line="360" w:lineRule="auto"/>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Zhasínejte světla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tento úkol se zdá být snadný, ale děti na něj často zapomínají – jednoduše zhasínejte doma světla. Podpora tohoto chování ušetří výdaje za elektřinu a pomůže zabránit plýtvání.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Vytáhněte zástrčku ze zásuvky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odpojení nepoužívané elektroniky ze zásuvky je dalším způsobem, jak šetřit energií.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Kontrola vodovodních kohoutků</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kontrola kohoutků u dřezu a ujištění se, že voda nekape, je způsob, jak ušetřit vodu.</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Předejte to dál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oblečení, hračky a mnoho věcí v domácnosti lze předat nebo darovat, aby se zabránilo plýtvání.</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Omezte plýtvání při obědě</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když posíláte děti do školy, snažte se používat věci na opakované použití, jako jsou sáčky na oběd, příbory, ubrousky, termosky a další věci, a ne věci na jedno použití.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Naučte děti recyklovat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tento bod zní také jednoduše, ale může být velmi náročný. Zkuste najít zábavné způsoby, jak děti přimět, aby si recyklaci zapamatovaly.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Používejte svoje nohy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někam jít neznamená automaticky, že se musíte nasáčkovat do auta. Povzbuďte rodinu, aby se do blízkého cíle vydala pěšky nebo na kole.</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spacing w:line="360" w:lineRule="auto"/>
        <w:rPr/>
      </w:pPr>
      <w:r w:rsidDel="00000000" w:rsidR="00000000" w:rsidRPr="00000000">
        <w:rPr>
          <w:rtl w:val="0"/>
        </w:rPr>
        <w:t xml:space="preserve">Podporovat lásku k naší planetě a učit děti chování, které je nezbytné pro zachování její krásy, lze jednoduchými způsoby. Naštěstí jsou děti obvykle velmi ochotné a nadšené podat pomocnou ruku. Pod řádným vedením z nich vyrostou ochránci životního prostředí, takže jejich svět bude čistším a bezpečnějším místem k životu.</w:t>
      </w:r>
    </w:p>
    <w:p w:rsidR="00000000" w:rsidDel="00000000" w:rsidP="00000000" w:rsidRDefault="00000000" w:rsidRPr="00000000" w14:paraId="00000014">
      <w:pPr>
        <w:jc w:val="center"/>
        <w:rPr/>
      </w:pPr>
      <w:r w:rsidDel="00000000" w:rsidR="00000000" w:rsidRPr="00000000">
        <w:rPr>
          <w:rtl w:val="0"/>
        </w:rPr>
      </w:r>
    </w:p>
    <w:p w:rsidR="00000000" w:rsidDel="00000000" w:rsidP="00000000" w:rsidRDefault="00000000" w:rsidRPr="00000000" w14:paraId="00000015">
      <w:pPr>
        <w:spacing w:line="360" w:lineRule="auto"/>
        <w:rPr/>
      </w:pPr>
      <w:r w:rsidDel="00000000" w:rsidR="00000000" w:rsidRPr="00000000">
        <w:rPr>
          <w:rtl w:val="0"/>
        </w:rPr>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Odstavecseseznamem">
    <w:name w:val="List Paragraph"/>
    <w:basedOn w:val="Normln"/>
    <w:uiPriority w:val="34"/>
    <w:qFormat w:val="1"/>
    <w:rsid w:val="00431CE8"/>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sGXr+Nb2pXQC7RrUUVxiHeVx0w==">CgMxLjA4AHIhMWg5Z3QzWWhSLXlscFZLWXVrUUNFN0lYaTZxcVVHNVow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2022-08-22T07:34:00Z</dcterms:created>
  <dc:creator>Admin</dc:creator>
</cp:coreProperties>
</file>