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Dobré energetické praktiky pre personál kancelárií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Ak je to možné: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Pri odchode zo miestnosti vypni osvetlenie a ďalšie spotrebiče energie, ak je to možné 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Vypni umelé osvetlenie, keď je dostatočné prírodné svetlo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Používaj miestne osvetlenie namiesto všeobecného 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Keď nepracuješ na počítači, faxe, tlačiari, kopírke - vypni monitor, uspí systém alebo zariadenie - aktivuj úsporný režim, nevyužívaj pohotovostný režim 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Vyťahuj nabíjačku zo zásuvky okamžite po ukončení nabíjania 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Prispôsobte vykurovanie potrebnému tepelnému komfortu 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Neblokujte radiátory závesmi a záclonami 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Klimatizáciu zapínajte len pri zatvorených oknách a dverách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 miestností s klimatizáciou odstráňte zariadenia produkujúce teplo 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Miestnosti vetrávajte intenzívne a čo najkratšie 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 kúrennej sezóne rozťahujte závesy vo slnečný deň 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 rýchlovarnej kanvice nalejte vodu len v množstve, ktoré spotrebujete po prevareni 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Starajte sa o technický stav chladničky - pravidelne kontrolujte tesnosť tesnení, občas vyčistite výmenník tepla 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Nenechávajte otvorenú chladničku 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Pri plánovaní nákupu domácich spotrebičov, audiovizuálnych zariadení, kancelárskych zariadení zohľadnite ich energetickú účinnosť a životný cyklus produktu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Používajte a šírte zásady energetickej efektívnosti!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