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60" w:line="259" w:lineRule="auto"/>
        <w:rPr>
          <w:rFonts w:ascii="Ubuntu" w:cs="Ubuntu" w:eastAsia="Ubuntu" w:hAnsi="Ubuntu"/>
        </w:rPr>
      </w:pPr>
      <w:r w:rsidDel="00000000" w:rsidR="00000000" w:rsidRPr="00000000">
        <w:rPr>
          <w:rFonts w:ascii="Ubuntu" w:cs="Ubuntu" w:eastAsia="Ubuntu" w:hAnsi="Ubuntu"/>
        </w:rPr>
        <w:drawing>
          <wp:inline distB="114300" distT="114300" distL="114300" distR="114300">
            <wp:extent cx="5731200" cy="7620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762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259" w:lineRule="auto"/>
        <w:jc w:val="both"/>
        <w:rPr>
          <w:rFonts w:ascii="Times New Roman" w:cs="Times New Roman" w:eastAsia="Times New Roman" w:hAnsi="Times New Roman"/>
          <w:b w:val="1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d0d0d"/>
          <w:sz w:val="24"/>
          <w:szCs w:val="24"/>
          <w:rtl w:val="0"/>
        </w:rPr>
        <w:t xml:space="preserve">VR-PLC - VR-školenia zamerané na PLC pre priemysel 4.0 (program Európskeho inovačného a technologického inštitútu, EIT-Manufacturing)</w:t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300" w:line="259" w:lineRule="auto"/>
        <w:jc w:val="both"/>
        <w:rPr>
          <w:rFonts w:ascii="Times New Roman" w:cs="Times New Roman" w:eastAsia="Times New Roman" w:hAnsi="Times New Roman"/>
          <w:color w:val="0d0d0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Vedúcim konsorcia je Ruhrská univerzita v Bochume (URB) - Fakulta strojného inžinierstva (Nemecko). Hlavným partnerom je Lukasiewicz - IteE s 6 vytvorenými technodidaktickými stanicami s výučbovými materiálmi, ktoré sú prístupné na diaľku. Pracovné stanice sa zaoberajú: reguláciou tlaku, hladinou kvapaliny, krokovým motorom SERVO, procesnou dopravou a vizuálnou kontrolou pomocou viacosejového priemyselného robota a fotovoltikou. Tretím partnerom je LINPRA, teda organizácia zastrešujúca zamestnávateľov z litovského priemyslu, ktorá pomôže určiť vzdelávacie potreby a profilovať konečnú ponuku (pre ďalšiu komercializáciu). Logika zásahu je nasledovná: Ł-ITeE poskytne stanice, ktoré budú uzavreté do nástrojov VR, spoločne s URB vytvoríme výučbové materiály, ktoré budú umiestnené na špeciálne vytvorenej platforme VR integrujúcej obsah a väzby na GLP alebo ďalšie systémy riadenia výučby, prípadne vrátane aspektov rozvetvovania (predpokladáme). Tieto riešenia predbežne otestujeme v Poľsku vo vybraných podnikoch RKM (ktorých sme členmi) a potom celý balíček poskytneme na testovanie v litovských podnikoch, ktoré nám na záver poskytnú spätnú väzbu, aby sme mohli finálnu verziu produktov (prístrojov a softvéru a výučbových nugetov) zdokonaliť. "Dostupnosť technických riešení, ktoré tento koncept umožňujú", a na druhej strane výsledky, ktorých dosahujú, robia z ich zavádzania jednu z kľúčových aktivít digitálnej transformácie. Každoročná správa Inštitútu Gartner o najlepších strategických technologických trendoch momentálne zaradila "digitálne dvojčatá" medzi desať najžiadanejších technológií. Podľa tejto správy sa očakáva, že polovica veľkých výrobných spoločností bude v roku 2021 využívať "digitálne dvojčatá" a dosiahne tým zvýšenie efektivity o 10 %. Projekt je otvorený aj ďalším odvetviam využívajúcim PLC, ako sú: strojárstvo a automatizácia (79 %), potravinárstvo (70 %), automobilový priemysel (69 %), chemický priemysel (53 %) alebo energetika (48 %, Sprievodca trhom automatizácie, 2021, s. 15) Projekt reaguje na moderné výzvy Priemyslu 4.0 a vzdelávanie pracovníkov výrobných podnikov, umocnené skúsenosťami z COVID-19. V dlhodobom horizonte umožní efektívnejšie a relatívne lacnejšie, odolnejšie voči udalostiam, ako je pandémia, pripravovať personál a zlepšovať zamestnancov. Viac informácií o projekte nájdete na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0d0d0d"/>
            <w:sz w:val="24"/>
            <w:szCs w:val="24"/>
            <w:rtl w:val="0"/>
          </w:rPr>
          <w:t xml:space="preserve"> </w:t>
        </w:r>
      </w:hyperlink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rtl w:val="0"/>
          </w:rPr>
          <w:t xml:space="preserve">https://www.lde.ruhr-uni-bochum.de/vrplc/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4">
      <w:pPr>
        <w:spacing w:after="160" w:line="259" w:lineRule="auto"/>
        <w:rPr>
          <w:rFonts w:ascii="Ubuntu" w:cs="Ubuntu" w:eastAsia="Ubuntu" w:hAnsi="Ubuntu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s://www.lde.ruhr-uni-bochum.de/vrplc/" TargetMode="External"/><Relationship Id="rId8" Type="http://schemas.openxmlformats.org/officeDocument/2006/relationships/hyperlink" Target="https://www.lde.ruhr-uni-bochum.de/vrplc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