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9" w:lineRule="auto"/>
        <w:rPr>
          <w:rFonts w:ascii="Ubuntu" w:cs="Ubuntu" w:eastAsia="Ubuntu" w:hAnsi="Ubuntu"/>
        </w:rPr>
      </w:pPr>
      <w:r w:rsidDel="00000000" w:rsidR="00000000" w:rsidRPr="00000000">
        <w:rPr>
          <w:rFonts w:ascii="Ubuntu" w:cs="Ubuntu" w:eastAsia="Ubuntu" w:hAnsi="Ubuntu"/>
        </w:rPr>
        <w:drawing>
          <wp:inline distB="114300" distT="114300" distL="114300" distR="114300">
            <wp:extent cx="5731200" cy="7620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76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d0d0d"/>
          <w:sz w:val="24"/>
          <w:szCs w:val="24"/>
          <w:rtl w:val="0"/>
        </w:rPr>
        <w:t xml:space="preserve">Udržateľné investície a financovanie zelenej ekonomiky</w:t>
      </w:r>
    </w:p>
    <w:p w:rsidR="00000000" w:rsidDel="00000000" w:rsidP="00000000" w:rsidRDefault="00000000" w:rsidRPr="00000000" w14:paraId="00000003">
      <w:pPr>
        <w:spacing w:after="16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Udržateľné investície a financovanie zelenej ekonomiky sú dôležitým prvkom v úsiliach o udržateľný rozvoj. Cieľom týchto investícií je spojiť finančné ciele s environmentálnymi a sociálnymi prínosmi. Mnoho finančných inštitúcií a kapitálových trhov už investuje do projektov zelenej ekonomiky s cieľom prispieť k dosiahnutiu cieľov udržateľného rozvoja.</w:t>
      </w:r>
    </w:p>
    <w:p w:rsidR="00000000" w:rsidDel="00000000" w:rsidP="00000000" w:rsidRDefault="00000000" w:rsidRPr="00000000" w14:paraId="00000005">
      <w:pPr>
        <w:spacing w:after="16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Jednou z kľúčových výziev je zabezpečiť dostatočné financovanie projektov zelenej ekonomiky. Mnoho projektov zelenej ekonomiky vyžaduje veľké investície a podporu finančných inštitúcií. Je vhodné venovať pozornosť verejným investíciám, ktoré môžu pomôcť vytvoriť vhodný trh a podporu pre zelené investície.</w:t>
      </w:r>
    </w:p>
    <w:p w:rsidR="00000000" w:rsidDel="00000000" w:rsidP="00000000" w:rsidRDefault="00000000" w:rsidRPr="00000000" w14:paraId="00000006">
      <w:pPr>
        <w:spacing w:after="16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Ďalšou výzvou je zabezpečiť, aby zelené investície boli ziskové a prinášali investorom primerané výnosy. Na dosiahnutie tohto cieľa je dôležité vytvoriť vhodné predpisy a trhy na podporu investícií do projektov zelenej ekonomiky.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Medzi osvedčené postupy v oblasti udržateľných investícií a financovania zelenej ekonomiky patria: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300" w:line="259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Investovanie do projektov zelenej ekonomiky, ktoré majú pozitívne environmentálne a sociálne účinky. To môže zahŕňať investície do obnoviteľných zdrojov energie, projektov energetickej efektívnosti alebo projektov udržateľného rozvoja.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259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Účasť na iniciatívach a programoch udržateľných investícií, ako je napríklad certifikácia zelených investícií, aby sa zabezpečilo, že investície spĺňajú požiadavky udržateľnosti.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259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Monitorovanie a spravovanie environmentálnych a sociálnych účinkov investícií. To pomáha pochopiť, aké prínosy priniesli investície a aké ďalšie opatrenia sú potrebné.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259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Vzdelávanie a informovanie investorov o výhodách zelených investícií, aby boli motivovaní investovať do projektov zelenej ekonomiky.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259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Spolupráca s vládou a ďalšími inštitúciami na vytvorení vhodných predpisov a trhov na podporu udržateľných investícií.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beforeAutospacing="0" w:line="259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Spolupráca s rôznymi odvetviami, aby sa zabezpečilo, že udržateľné investície budú prospešné pre všetky strany a prispejú k dosiahnutiu cieľov udržateľného rozvoja.</w:t>
      </w:r>
    </w:p>
    <w:p w:rsidR="00000000" w:rsidDel="00000000" w:rsidP="00000000" w:rsidRDefault="00000000" w:rsidRPr="00000000" w14:paraId="0000000E">
      <w:pPr>
        <w:spacing w:after="16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Používanie transparentných a jasných investičných kritérií na zabezpečenie toho, že investície sú v súlade s hodnotami a cieľmi udržateľného rozvoja.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="259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Udržateľné investície a financovanie zelenej ekonomiky sú kľúčom k dosiahnutiu cieľov udržateľného rozvoja. Je dôležité zabezpečiť primerané financovanie a reguláciu projektov zelenej ekonomiky, aby boli pre investorov ziskové a prospešné pre životné prostredie a spoločnosť. Týmto spôsobom môžeme zabezpečiť, že naša činnosť bude v budúcnosti prospešná pre planétu a našu ekonomiku.</w:t>
      </w:r>
    </w:p>
    <w:p w:rsidR="00000000" w:rsidDel="00000000" w:rsidP="00000000" w:rsidRDefault="00000000" w:rsidRPr="00000000" w14:paraId="00000010">
      <w:pPr>
        <w:spacing w:after="160" w:line="259" w:lineRule="auto"/>
        <w:rPr>
          <w:rFonts w:ascii="Ubuntu" w:cs="Ubuntu" w:eastAsia="Ubuntu" w:hAnsi="Ubuntu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