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51" w:line="360" w:lineRule="auto"/>
        <w:ind w:left="10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88. Oběhové hospodářství a dopad na vytváření hodnot studentů</w:t>
      </w:r>
    </w:p>
    <w:p w:rsidR="00000000" w:rsidDel="00000000" w:rsidP="00000000" w:rsidRDefault="00000000" w:rsidRPr="00000000" w14:paraId="00000002">
      <w:pPr>
        <w:spacing w:before="351" w:line="360" w:lineRule="auto"/>
        <w:ind w:left="10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Bc. Tibor Teodor Lachkovič | 9. 10. 2022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360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00" w:right="114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 letech využívání dostupných zdrojů je třeba najít účinná a ekologická řešení pro další generace. Model oběhového hospodářství nám pomůže efektivně využívat zdroje minimalizací odpadu. Zároveň se jedná o koncept dlouhodobého zachování hodnot a snížení primárních zdrojů, čímž se chrání životní prostředí a využívají socioekonomické přínosy.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Jedná se také o systematický posun k regenerativnímu výrobnímu procesu, který snižuje spotřebu materiálů a zároveň má příznivý vliv na eliminaci odpadů.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00" w:right="114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Budování hodnot u dětí a mládeže je jedním z hlavních pilířů vzdělávání ve vyspělých zemích. Se studenty středních a vysokých škol je možné podílet se na vytváření jejich hodnotového systému. Vzhledem k jejich školní socializaci je běžnou praxí, že největší vliv na budování hodnot mají učitelé, kteří jsou přirozenými profesionály a lidskými autoritami. V mnoha případech je motivem pro úpravu těchto hodnot snaha vypadat jako učitel s vysokou autoritou.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00" w:right="114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Motivace k oběhovému hospodářství a jeho prvkům může pozitivně ovlivnit žáky a jejich hodnoty v oblasti pro environmentálního myšlení a ochrany životního prostředí. Jak tedy motivovat studenty? Můžeme vycházet ze tří typů přínosů, které stanovil Slovenský institut oběhového hospodářství: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00" w:right="114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Ekonomické přínosy: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Možnost využití leasingu nebo pronájmu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Snížení celkových nákladů v dlouhodobém horizontu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ekologických a digitálních inovací na trhu.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konkurenceschopnosti výrobků/služeb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  <w:sectPr>
          <w:headerReference r:id="rId8" w:type="default"/>
          <w:pgSz w:h="16840" w:w="11920" w:orient="portrait"/>
          <w:pgMar w:bottom="280" w:top="1380" w:left="1340" w:right="1340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Budování odolnosti vůči vnějším vlivům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9" w:firstLine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Přínosy pro životní prostředí: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Snížení znečištění vody a ovzduší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Snížení emisí skleníkových plynů, příspěvek ke změně klimatu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neobnovitelných zdrojů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ekosystémů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Snížení množství odpadu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Snížení spotřeby energie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udržitelného zemědělství a místních produktů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Snižování ekologické stopy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Snížení využívání primárních zdrojů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9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9" w:firstLine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Sociální přínosy: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Zlepšení sociálních a zdravotních podmínek pracovníků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Zlepšení kvality života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Zvýšení zdravotních standardů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Zvýšení sebevědomí pracovníků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Zlepšení kvality potravin na pracovišti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1540" w:right="114" w:hanging="360"/>
        <w:jc w:val="both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Vytváření (kruhových) pracovních míst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19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0" w:right="119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Příkladem dobré praxe, který můžete zavést na kterékoli škole, je například typická výměna oblečení, knih, učebnic nebo jiných předmětů. Jedná se o akci, při níž si účastníci předávají věc za věc.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0" w:right="119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Užitečné může být také vytvoření centra opětovného použití, které bude sloužit jak návštěvníkům školy, tak i okolí. Místo, kde můžete bezplatně odevzdat drobné předměty z domácnosti, které byste jinak vyhodili. Předměty tak mohou snadno najít nového majitele.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0" w:right="119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školní jídelna se může stát cirkulární. Měla by zohledňovat ekologickou a sociální odpovědnost. Používejte produkty ze známých zdrojů, ekologického zemědělství, živočišné výroby (dobré životní podmínky zvířat), komunitou podporovaného zemědělství a podpory malých výrobců nebo předcházení vzniku odpadu (obalový materiál a možnost nákupu surovin ve větších baleních nebo vratných obalech).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20" w:orient="portrait"/>
      <w:pgMar w:bottom="280" w:top="1600" w:left="1340" w:right="13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Arial MT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0"/>
          <w:szCs w:val="20"/>
          <w:u w:val="none"/>
          <w:shd w:fill="auto" w:val="clear"/>
          <w:vertAlign w:val="baseline"/>
          <w:rtl w:val="0"/>
        </w:rPr>
        <w:t xml:space="preserve">MORSELETTO, Piero. Targets for a circular economy.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2121"/>
          <w:sz w:val="20"/>
          <w:szCs w:val="20"/>
          <w:u w:val="none"/>
          <w:shd w:fill="auto" w:val="clear"/>
          <w:vertAlign w:val="baseline"/>
          <w:rtl w:val="0"/>
        </w:rPr>
        <w:t xml:space="preserve">Resources, Conservation and Recycling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0"/>
          <w:szCs w:val="20"/>
          <w:u w:val="none"/>
          <w:shd w:fill="auto" w:val="clear"/>
          <w:vertAlign w:val="baseline"/>
          <w:rtl w:val="0"/>
        </w:rPr>
        <w:t xml:space="preserve">, 2020, 153: 104553.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0"/>
          <w:szCs w:val="20"/>
          <w:u w:val="none"/>
          <w:shd w:fill="auto" w:val="clear"/>
          <w:vertAlign w:val="baseline"/>
          <w:rtl w:val="0"/>
        </w:rPr>
        <w:t xml:space="preserve">YU, Yifei, et al. Circular economy in the construction industry: A review of decision support tools based on Information &amp; Communication Technologies.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12121"/>
          <w:sz w:val="20"/>
          <w:szCs w:val="20"/>
          <w:u w:val="none"/>
          <w:shd w:fill="auto" w:val="clear"/>
          <w:vertAlign w:val="baseline"/>
          <w:rtl w:val="0"/>
        </w:rPr>
        <w:t xml:space="preserve">Journal of cleaner production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0"/>
          <w:szCs w:val="20"/>
          <w:u w:val="none"/>
          <w:shd w:fill="auto" w:val="clear"/>
          <w:vertAlign w:val="baseline"/>
          <w:rtl w:val="0"/>
        </w:rPr>
        <w:t xml:space="preserve">, 2022, 131335.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26">
      <w:pPr>
        <w:ind w:left="100" w:right="324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0"/>
          <w:szCs w:val="20"/>
          <w:rtl w:val="0"/>
        </w:rPr>
        <w:t xml:space="preserve">KNAPÍK, J. THE PROCESS OF CREATING VALUE SYSTEM OF UNIVERSITY STUDENTS. In: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12121"/>
          <w:sz w:val="20"/>
          <w:szCs w:val="20"/>
          <w:rtl w:val="0"/>
        </w:rPr>
        <w:t xml:space="preserve">INTED2022 Proceedings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0"/>
          <w:szCs w:val="20"/>
          <w:rtl w:val="0"/>
        </w:rPr>
        <w:t xml:space="preserve">. IATED, 2022. p. 3845-3853.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028">
      <w:pPr>
        <w:spacing w:before="103" w:lineRule="auto"/>
        <w:ind w:left="100" w:right="592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Jonášová, S. et al.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Metodika cirkulárneho verejného obstarávania vo verejných a v súkromných zákazkách.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Inštitút cirkulárnej ekonomiky : Bratislava, 2021. Available at: https://</w:t>
      </w:r>
      <w:hyperlink r:id="rId1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www.incien.sk/wp-content/uploads/2022/04/incien_obstaravanie-manual_sk.pdf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widowControl w:val="1"/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88"/>
      <w:numFmt w:val="bullet"/>
      <w:lvlText w:val="-"/>
      <w:lvlJc w:val="left"/>
      <w:pPr>
        <w:ind w:left="154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22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0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0" w:lineRule="auto"/>
      <w:ind w:left="100" w:right="123"/>
      <w:jc w:val="both"/>
    </w:pPr>
    <w:rPr>
      <w:sz w:val="52"/>
      <w:szCs w:val="52"/>
    </w:rPr>
  </w:style>
  <w:style w:type="paragraph" w:styleId="Normln" w:default="1">
    <w:name w:val="Normal"/>
    <w:qFormat w:val="1"/>
    <w:rPr>
      <w:rFonts w:ascii="Arial MT" w:cs="Arial MT" w:eastAsia="Arial MT" w:hAnsi="Arial MT"/>
    </w:rPr>
  </w:style>
  <w:style w:type="paragraph" w:styleId="Nadpis1">
    <w:name w:val="heading 1"/>
    <w:basedOn w:val="Normln"/>
    <w:uiPriority w:val="9"/>
    <w:qFormat w:val="1"/>
    <w:pPr>
      <w:ind w:left="100"/>
      <w:outlineLvl w:val="0"/>
    </w:pPr>
    <w:rPr>
      <w:rFonts w:ascii="Arial" w:cs="Arial" w:eastAsia="Arial" w:hAnsi="Arial"/>
      <w:b w:val="1"/>
      <w:bCs w:val="1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kladntext">
    <w:name w:val="Body Text"/>
    <w:basedOn w:val="Normln"/>
    <w:uiPriority w:val="1"/>
    <w:qFormat w:val="1"/>
    <w:pPr>
      <w:ind w:left="820" w:hanging="360"/>
    </w:pPr>
  </w:style>
  <w:style w:type="paragraph" w:styleId="Nzev">
    <w:name w:val="Title"/>
    <w:basedOn w:val="Normln"/>
    <w:uiPriority w:val="10"/>
    <w:qFormat w:val="1"/>
    <w:pPr>
      <w:spacing w:before="60"/>
      <w:ind w:left="100" w:right="123"/>
      <w:jc w:val="both"/>
    </w:pPr>
    <w:rPr>
      <w:sz w:val="52"/>
      <w:szCs w:val="52"/>
    </w:rPr>
  </w:style>
  <w:style w:type="paragraph" w:styleId="Odstavecseseznamem">
    <w:name w:val="List Paragraph"/>
    <w:basedOn w:val="Normln"/>
    <w:uiPriority w:val="1"/>
    <w:qFormat w:val="1"/>
    <w:pPr>
      <w:spacing w:before="126"/>
      <w:ind w:left="820" w:hanging="360"/>
    </w:pPr>
  </w:style>
  <w:style w:type="paragraph" w:styleId="TableParagraph" w:customStyle="1">
    <w:name w:val="Table Paragraph"/>
    <w:basedOn w:val="Normln"/>
    <w:uiPriority w:val="1"/>
    <w:qFormat w:val="1"/>
  </w:style>
  <w:style w:type="paragraph" w:styleId="Textpoznpodarou">
    <w:name w:val="footnote text"/>
    <w:basedOn w:val="Normln"/>
    <w:link w:val="TextpoznpodarouChar"/>
    <w:uiPriority w:val="99"/>
    <w:semiHidden w:val="1"/>
    <w:unhideWhenUsed w:val="1"/>
    <w:rsid w:val="00B8244D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 w:val="1"/>
    <w:rsid w:val="00B8244D"/>
    <w:rPr>
      <w:rFonts w:ascii="Arial MT" w:cs="Arial MT" w:eastAsia="Arial MT" w:hAnsi="Arial MT"/>
      <w:sz w:val="20"/>
      <w:szCs w:val="20"/>
    </w:rPr>
  </w:style>
  <w:style w:type="character" w:styleId="Znakapoznpodarou">
    <w:name w:val="footnote reference"/>
    <w:basedOn w:val="Standardnpsmoodstavce"/>
    <w:uiPriority w:val="99"/>
    <w:semiHidden w:val="1"/>
    <w:unhideWhenUsed w:val="1"/>
    <w:rsid w:val="00B8244D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www.incien.sk/wp-content/uploads/2022/04/incien_obstaravanie-manual_sk.pdf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o5LYzsK0ac95gx0pkWn4o0MjpQ==">CgMxLjA4AHIhMWdxdHdEX3lfT2UzemhwaU4wb3NiRFVsenFJRE1VV3Vu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2023-02-17T14:01:00Z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929c9f10125cec64a46d36f93793e10730a5d27cac1b8248e2f2ba8ce342ff84</vt:lpwstr>
  </property>
</Properties>
</file>