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120" w:before="240" w:line="360" w:lineRule="auto"/>
        <w:jc w:val="both"/>
        <w:rPr>
          <w:rFonts w:ascii="Times New Roman" w:cs="Times New Roman" w:eastAsia="Times New Roman" w:hAnsi="Times New Roman"/>
          <w:b w:val="1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1f1e"/>
          <w:rtl w:val="0"/>
        </w:rPr>
        <w:t xml:space="preserve">Jste připraveni na balíček “Fit for 55”</w:t>
      </w:r>
    </w:p>
    <w:p w:rsidR="00000000" w:rsidDel="00000000" w:rsidP="00000000" w:rsidRDefault="00000000" w:rsidRPr="00000000" w14:paraId="00000002">
      <w:pPr>
        <w:spacing w:after="12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 červenci 2021 představila Evropská komise soubor legislativních návrhů, jejichž cílem je sladit předpisy Evropské unie s cíli stanovenými v Zelené dohodě pro Evropu. Balíček nazvaný "Fit for 55" se skládá z více než desítky legislativních návrhů, jejichž přijetí a zavedení do praxe má za cíl snížit emise skleníkových plynů v zemích EU do roku 2030 o 55 % oproti roku 1990. Legislativní návrhy, které tvoří tento balíček, se týkají revizí stávajících směrnic a nařízení, jakož i zavedení nových mechanismů. </w:t>
      </w:r>
    </w:p>
    <w:p w:rsidR="00000000" w:rsidDel="00000000" w:rsidP="00000000" w:rsidRDefault="00000000" w:rsidRPr="00000000" w14:paraId="00000003">
      <w:pPr>
        <w:spacing w:after="12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 případě balíčku "Fit for 55" se budeme muset vypořádat se složitým legislativním procesem. V první řadě jsou body uvedené v balíčku pouze návrhy, které, aby se staly součástí evropského právního řádu, musí být přijaty členskými státy v souladu s platným legislativním postupem. Nejdůležitějšími oblastmi, jichž se balíček týká, jsou: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komplexní revize stávajícího systému EU pro obchodování s emisemi (ETS) s cílem snížit do roku 2030 emise v příslušných odvětvích o 61 % oproti roku 2005, a to zpřísněním stávajících předpisů a rozšířením systému.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mění cíl EU pro snížení emisí do roku 2030 ze současných 29 % na 40 % (ve srovnání s rokem 2005) v odvětvích, na která se nevztahuje systém EU pro obchodování s emisemi ani nařízení o využívání půdy, změnách ve využívání půdy a lesnictví (LULUCF). Návrh nařízení zvyšuje a aktualizuje národní cíle v souladu s tímto novým předpokladem. Výpočet národních cílů bude nadále zohledňovat HDP na obyvatele s omezenými, cílenými úpravami za účelem racionalizace nákladů.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Revize nařízení o využívání půdy a lesnictví (LULUCF). Tato revize řeší jak zahnout emise z využívání půdy a lesnictví do emisních cílů EU a jednotlivých států.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Změna stávajících právních předpisů mimo jiné znamená: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stanovení cíle čisté absorpce skleníkových plynů v EU ve výši nejméně 310 milionů tun ekvivalentu oxidu uhličitého do roku 2030,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zjednodušení pravidel pro vyúčtování a dodržování předpisů a zlepšení monitorování,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rozšíření působnosti nařízení od roku 2031 tak, aby zahrnovalo i emise jiné než CO2 ze zemědělského odvětví,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stanovení cíle EU pro klimatickou neutralitu do roku 2035 v odvětví pozemního hospodářství.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na změnu směrnice o obnovitelných zdrojích energie s cílem zvýšit současný cíl EU pro podíl obnovitelných zdrojů energie na celkovém energetickém mixu z 32 % na nejméně 40 % do roku 2030. Navrhuje rovněž zavést nebo zlepšit dílčí odvětvové cíle a opatření ve všech odvětvích, se zvláštním zaměřením na ta, kde je integrace obnovitelných zdrojů pomalejší, a to zejména v oblasti dopravy, stavebnictví a průmyslu.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na změnu stávající směrnice o energetické účinnosti, která by zvýšila současný celoevropský cíl z 32,5 % na 36 % u konečné spotřeby energie a na 39 % u spotřeby primární energie. Návrh rovněž předpokládá zpřísnění ročních povinností v oblasti úspor energie a zavedení nových předpisů pro snížení spotřeby energie v budovách veřejného sektoru, jakož i cílených opatření na ochranu ohrožených spotřebitelů.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na změnu stávajících předpisů s cílem urychlit rozvoj infrastruktury pro dobíjení nebo tankování vozidel na alternativní paliva. Návrh se vztahuje na všechny druhy dopravy a stanovuje cíle pro rozvoj infrastruktury a řeší otázku vzájemné součinnosti a snadného používání této infrastruktury.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na změnu předpisů o emisích CO2 z osobních a dodávkových automobilů. Celoevropské cíle snížení emisí pro rok 2030 mají být zvýšeny a nový cíl pro rok 2035 má dosáhnout 100 %. V praxi to znamená, že od roku 2035 nebude v Evropské unii povoleno uvádět na trh žádné další osobní ani dodávkové automobily se spalovacími motory. Cílem návrhů je mimo jiné stimulovat inovace.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na změnu směrnice o zdanění energie, který stanoví: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14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Sladění zdanění s politikami EU v oblasti energetiky, životního prostředí a klimatu.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14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Ochrana a zefektivnění vnitřního trhu EU prostřednictvím aktualizace rozsahu energetických produktů, struktury sazeb a racionálnějšího využívání daňových výjimek a úlev ze strany členských států.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14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Zachování schopnosti členských států vytvářet daňové příjmy.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na zavedení mechanismu pro úpravu cen na hranicích (CBAM - Uhlíkové vyrovnání na hranicích) zohledňujícího emise CO2, aby se zabránilo tomu, že úsilí EU o snížení emisí bude zmařeno zvýšením emisí za hranicemi EU v důsledku přesunu výroby mimo Evropu nebo zvýšením dovozu výrobků náročných na emise uhlíku.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projektu ReFuelEU Aviation, který má pomoci snížit dopad leteckého odvětví na životní prostředí a zapojit toto odvětví do plnění cílů EU v oblasti klimatu. Důvodem je skutečnost, že udržitelná letecká paliva, jako jsou pokročilá biopaliva a e-paliva, mohou výrazně snížit emise z letecké dopravy.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na používání obnovitelných a nízkouhlíkových paliv v námořní dopravě, který by měl do roku 2050 snížit emise skleníkových plynů vznikající při spotřebě energie na lodích až o 75 %. Navzdory pokroku v posledních letech je námořní doprava stále téměř výhradně závislá na fosilních palivech a je významným zdrojem emisí skleníkových plynů a dalších škodlivých látek.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Návrh vzniku sociálně klimatického fondu, který bude řešit sociální a distribuční dopady nově navrhovaného systému obchodování s emisemi ve stavebnictví a silniční dopravě. Tento fond by měl v letech 2025 až 2032 poskytnout 72,2 miliardy eur na vyrovnání očekávaných nerovnoměrných dopadů nového systému na členské státy. Na základě socioklimatických plánů vypracovaných členskými státy bude fond podporovat uvedené aktivity a investice: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Přínos pro znevýhodněné osoby: domácnosti, mikropodniky, účastníky dopravy a osoby se zdravotním postižením.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Zvýšení energetické úspornosti budov, dekarbonizace systémů vytápění a chlazení v budovách, využívání obnovitelných zdrojů energie a přístup k bezemisní a nízkoemisní mobilitě a dopravě.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9642F2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"/>
    <w:basedOn w:val="Normln"/>
    <w:link w:val="OdstavecseseznamemChar"/>
    <w:uiPriority w:val="34"/>
    <w:qFormat w:val="1"/>
    <w:rsid w:val="009642F2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OdstavecseseznamemChar" w:customStyle="1">
    <w:name w:val="Odstavec se seznamem Char"/>
    <w:aliases w:val="Fiche List Paragraph Char,Dot pt Char,F5 List Paragraph Char,List Paragraph1 Char,No Spacing1 Char,List Paragraph Char Char Char Char,Indicator Text Char,Numbered Para 1 Char,Bullet Points Char,MAIN CONTENT Char,Bullet 1 Char"/>
    <w:basedOn w:val="Standardnpsmoodstavce"/>
    <w:link w:val="Odstavecseseznamem"/>
    <w:uiPriority w:val="34"/>
    <w:qFormat w:val="1"/>
    <w:locked w:val="1"/>
    <w:rsid w:val="009642F2"/>
    <w:rPr>
      <w:rFonts w:ascii="Arial" w:cs="Arial" w:eastAsia="Arial" w:hAnsi="Arial"/>
    </w:rPr>
  </w:style>
  <w:style w:type="character" w:styleId="Hypertextovodkaz">
    <w:name w:val="Hyperlink"/>
    <w:basedOn w:val="Standardnpsmoodstavce"/>
    <w:uiPriority w:val="99"/>
    <w:semiHidden w:val="1"/>
    <w:unhideWhenUsed w:val="1"/>
    <w:rsid w:val="00526C08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SEuQNPRuudUDfoBzdVr8obkYlg==">CgMxLjA4AHIhMVd6Mzlsak8xOFVWcl9yQ0daSXhZeG1UYkNCbEtHNThC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2023-02-24T21:58:00Z</dcterms:created>
  <dc:creator>Julia Munik</dc:creator>
</cp:coreProperties>
</file>