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Transformační vzdělávání - návrhy na změny v přístupu k odborné přípravě mladých lidí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Dr. Andrzej Wojciech Stępnikowski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Návrhy na změny v přístupu k odborné přípravě mladých lidí (a učitelů)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 ohledem na výše uvedené se navrhuje souběžně vzdělávat studenty a jejich mistry a učitele formováním jejich kompetencí v oblasti udržitelného rozvoje s přihlédnutím k právě vydanému Evropskému kompetenčnímu rámci pro udržitelný rozvoj (GreenComp) B. Guia a dalších výzkumníků z Community Research Center.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https://publications.jrc.ec.europa.eu/repository/handle/JRC128040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Výsledky učení podle transformačního vzdělávání jsou popsány znalostmi, dovednostmi, postoji a hodnotami (v polském kvalifikačním rámci se místo postojů a hodnot uvádí sociální kompetence). Při hledání odpovědi na otázku "Jak bychom měli připravovat budoucí odborníky, tedy pedagogy a mistry pro realizaci cílů udržitelného rozvoje?" stojí za to podívat se na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OECD Learning Compass 2030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prozkoumat, jak vytvořit takové vzdělávací prostředí, které by "pěstovalo" transformační kompetence (Bianchi G, str. 28). Budoucí profesionální pedagogové by měli tyto klíčové kompetence získat spolu s odbornými a didaktickými kompetencemi (prvky pedagogiky/andragogiky). Didaktické kompetence totiž definují schopnost aplikovat vybrané metody, formy a techniky předávání informací účastníkům s využitím ICT technologií a komunikačních dovedností, stejně jako "porozumění vykonávaným sociálním a profesním rolím" (Salad E. 2013, str. 81-90). "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OECD Learning Compass 2030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poskytuje pochopení komplexnosti otázek souvisejících s kompetencemi požadovanými ve vzdělávání pro budoucnost, což je pro všechny pedagogy v oblasti Agendy 2030 zásadní."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Vzdělávání, zejména transformační vzdělávání, je zasazeno do formování postojů a hodnot, které obohacují naši osobnost. Znalosti a dovednosti se učíme nejen kvůli nim samotným, ale také pro "vyšší cíle", které souvisejí s naším pohledem na život. Tyto názory jsou funkcí naší osobnosti s její inteligencí, zkušenostmi, postoji a hodnotami. Středobodem naší osobnosti je však etika. Maria Grzegorzewska zase říkávala, že hodnota učitele se měří jeho postojem k druhému člověku ("učitel musí být svobodný, etický, socializovaný a úplný člověk" a věrný svému přesvědčení). J. W. Dawid upozorňoval, že pedagog (v našich souvislostech také školitel) musí představovat určité etické hodnoty a odpovědnost spojenou se smyslem pro povinnost, neustálé zdokonalování, připravenost k obětem a schopnost vzdorovat nepřízni osudu. Environmentální výchova a v širším smyslu výchova k udržitelnému rozvoji by měla probíhat nejen ve "školních lavicích", ale především na pracovištích a ve školních dílnách, protože právě tam může student v praxi poznat hodnotu (axiologickou i ekonomickou) předpokladů Agendy 2030. "Učení se praxí", které po generace realizovali řemeslníci a které propagoval John Dewey, je stále nejúčinnější formou výchovy návyků a postojů.</w:t>
      </w:r>
    </w:p>
    <w:p w:rsidR="00000000" w:rsidDel="00000000" w:rsidP="00000000" w:rsidRDefault="00000000" w:rsidRPr="00000000" w14:paraId="0000000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Shrnutí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Závěrem, či spíše na začátku úvah o budoucnosti (mezigeneračního) odborného vzdělávání, je třeba se na tuto problematiku podívat komplexně, z pohledu studenta i učitele s ohledem na tzv. "well-being" vyplývající z dokumentu 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OECD Learning Compass 2030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tj. životní pohodu, a to jak nás samotných, tak našeho okolí a obecně řečeno naší Země. Učitel, mistr či instruktor by měl být člověkem, který si je vědom důležitosti etického myšlení a jednání, měl by umět bojovat s vlastním sobectvím a orientovat se na společné dobro. Durkheim a další teoretici společenských věd poukazovali na to, že problémem moderních společností je obtížné sdílení naší individuality s ostatními bytostmi a vědomí potřeby překonat sobecké postoje a zároveň se více otevřít společnému dobru (Ćurko B., a další, str. 63). Vhodným vzděláváním mládeže a učitelů můžeme současnou situaci změnit a formovat postoje směrem, který Agenda 2030 představuje.</w:t>
      </w:r>
    </w:p>
    <w:p w:rsidR="00000000" w:rsidDel="00000000" w:rsidP="00000000" w:rsidRDefault="00000000" w:rsidRPr="00000000" w14:paraId="0000000E">
      <w:pPr>
        <w:spacing w:after="0" w:line="360" w:lineRule="auto"/>
        <w:ind w:firstLine="34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 budoucí učitele (včetně instruktorů praktické výuky) je jednou z nejdůležitějších otázek schopnost zvolit vhodné metody a nástroje, aby se k účastníkům dostala hlavní sdělení a aby byli schopni ovlivnit jejich postoje.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Mezi následujícími metodami můžeme vidět jak ty univerzální, tak ty, které se týkají sdílení znalostí v rámci komunity, a jeden praktický příklad environmentální výchovy. Zdá se, že univerzální pedagogické metody bývají obecnější a méně účinné než ty specializované, s výjimkou dvou pozitivních příkladů "případových studií" a "projektové/problémové výuky". Účinnost příkladných pedagogických přístupů k výuce udržitelného rozvoje je shrnuta níže v Tabulce 1. propojující pedagogické přístupy s kompetencemi v oblasti udržitelnosti (celou tabulku sestavil Bianchi G. 2020).</w:t>
      </w:r>
    </w:p>
    <w:p w:rsidR="00000000" w:rsidDel="00000000" w:rsidP="00000000" w:rsidRDefault="00000000" w:rsidRPr="00000000" w14:paraId="00000010">
      <w:pPr>
        <w:spacing w:after="0" w:line="360" w:lineRule="auto"/>
        <w:ind w:firstLine="34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Tabulka 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Tabulka propojující pedagogické přístupy s kompetencemi v oblasti udržitelnosti</w:t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2"/>
        <w:gridCol w:w="973"/>
        <w:gridCol w:w="1205"/>
        <w:gridCol w:w="993"/>
        <w:gridCol w:w="1098"/>
        <w:gridCol w:w="2002"/>
        <w:gridCol w:w="1499"/>
        <w:tblGridChange w:id="0">
          <w:tblGrid>
            <w:gridCol w:w="1292"/>
            <w:gridCol w:w="973"/>
            <w:gridCol w:w="1205"/>
            <w:gridCol w:w="993"/>
            <w:gridCol w:w="1098"/>
            <w:gridCol w:w="2002"/>
            <w:gridCol w:w="1499"/>
          </w:tblGrid>
        </w:tblGridChange>
      </w:tblGrid>
      <w:tr>
        <w:trPr>
          <w:cantSplit w:val="0"/>
          <w:trHeight w:val="38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2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KOMPETENCE</w:t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Univerzální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Environmentální vzdělávání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Případové studie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Mezioborová týmová výuka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Přednášky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Koncepční myšlenkové mapy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Problémová/projektová výuka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Environmentální vzdělávání v konkrétním prostředí</w:t>
            </w:r>
          </w:p>
        </w:tc>
      </w:tr>
      <w:tr>
        <w:trPr>
          <w:cantSplit w:val="0"/>
          <w:trHeight w:val="768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Systémové myšlení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☺☺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</w:tr>
      <w:tr>
        <w:trPr>
          <w:cantSplit w:val="0"/>
          <w:trHeight w:val="36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Mezioborová práce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36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Prediktivní myšlení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Spravedlnost, odpovědnost a etika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</w:tr>
      <w:tr>
        <w:trPr>
          <w:cantSplit w:val="0"/>
          <w:trHeight w:val="383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Kritické a analytické myšlení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</w:tr>
      <w:tr>
        <w:trPr>
          <w:cantSplit w:val="0"/>
          <w:trHeight w:val="365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Lidské vztahy a spolupráce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Empatie a pohled z perspektivy jiné osoby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Komunikace a využití médií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Strategická opatření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Osobní nasazení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 ☺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Posuzování a hodnocení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Odolnost vůči nejistotě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☺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0"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Celkové skóre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14☺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6☺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6☺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7☺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14☺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12☺</w:t>
            </w:r>
          </w:p>
        </w:tc>
      </w:tr>
    </w:tbl>
    <w:p w:rsidR="00000000" w:rsidDel="00000000" w:rsidP="00000000" w:rsidRDefault="00000000" w:rsidRPr="00000000" w14:paraId="0000007D">
      <w:pPr>
        <w:spacing w:after="0" w:line="360" w:lineRule="auto"/>
        <w:ind w:firstLine="34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☺☺ 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pedagogický přístup, který obvykle přispívá k rozvoji specifických kompetencí</w:t>
      </w:r>
    </w:p>
    <w:p w:rsidR="00000000" w:rsidDel="00000000" w:rsidP="00000000" w:rsidRDefault="00000000" w:rsidRPr="00000000" w14:paraId="0000007E">
      <w:pPr>
        <w:spacing w:after="0" w:line="360" w:lineRule="auto"/>
        <w:ind w:firstLine="34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☺)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pedagogický přístup, který může spíše přispět k rozvoji kompetencí.</w:t>
      </w:r>
    </w:p>
    <w:p w:rsidR="00000000" w:rsidDel="00000000" w:rsidP="00000000" w:rsidRDefault="00000000" w:rsidRPr="00000000" w14:paraId="0000007F">
      <w:pPr>
        <w:tabs>
          <w:tab w:val="center" w:leader="none" w:pos="4173"/>
          <w:tab w:val="right" w:leader="none" w:pos="8346"/>
        </w:tabs>
        <w:spacing w:after="0" w:line="360" w:lineRule="auto"/>
        <w:ind w:right="68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center" w:leader="none" w:pos="4173"/>
          <w:tab w:val="right" w:leader="none" w:pos="8346"/>
        </w:tabs>
        <w:spacing w:after="0" w:line="360" w:lineRule="auto"/>
        <w:ind w:right="680"/>
        <w:jc w:val="both"/>
        <w:rPr>
          <w:rFonts w:ascii="Times New Roman" w:cs="Times New Roman" w:eastAsia="Times New Roman" w:hAnsi="Times New Roman"/>
          <w:b w:val="1"/>
          <w:color w:val="1f497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Zdroj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A. Stępnikowski,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Handbook of training methodology for trainers on sustainable development,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OECD – Program posilování kapacity, Warsaw-Paris 2022.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0A4809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Hypertextovodkaz">
    <w:name w:val="Hyperlink"/>
    <w:uiPriority w:val="99"/>
    <w:unhideWhenUsed w:val="1"/>
    <w:rsid w:val="000A4809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5B330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ublications.jrc.ec.europa.eu/repository/handle/JRC128040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d4GLuRK+aPEM+zxFxnUiB9Ecgw==">CgMxLjA4AHIhMUZHbDFoaHdmYzNjZG9IcWxYSF9nZm1CZS1CTGRjYllr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2023-02-07T13:32:00Z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0f11ec601c5563d1572a7127d829cedef460b69ae0f98cdddc330f0c1fb81917</vt:lpwstr>
  </property>
</Properties>
</file>