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line="360" w:lineRule="auto"/>
        <w:ind w:firstLine="1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82. Digitálně kompetentní učitelé jako předpoklad digitální transformace škol</w:t>
      </w:r>
    </w:p>
    <w:p w:rsidR="00000000" w:rsidDel="00000000" w:rsidP="00000000" w:rsidRDefault="00000000" w:rsidRPr="00000000" w14:paraId="00000002">
      <w:pPr>
        <w:spacing w:before="351" w:line="36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Petra Papierníková | 18. 9. 2022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Kompetence v oblasti využívání digitálních technologií a médií patří k pilířům moderního vzdělávání. Takový systém vychová motivované a aktivní jedince připravené překonávat současné i budoucí problémy.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Je třeba přehodnotit cíle vzdělávání a změnit zaběhnuté postupy a vazby v našem obvyklém vzdělávacím systému, a digitální technologie v tom hrají zásadní roli. Mezi kompetence 21. století patří komunikace v mateřském i cizím jazyce.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Učíme se sestavovat logické argumenty, vyvozovat závěry z různých zdrojů, vnímat účastníky diskuse a adekvátně využívat technologie pro různé situace. Pro schopnost převádět nápady do praxe je důležitá iniciativa, inovace, kreativita a podnikavost. Současnost nás učí kreativně myslet a pracovat, být inovativní, umět uplatnit novinky v životě a poučit se z chyb. S tím úzce souvisí spolupráce, kdy se učíme pracovat v různých týmech, být flexibilní a nést odpovědnost, být přiměřeně kritičtí k dostupným informacím, hodnocení a řešení problémů a umět analyzovat informace. Didaktická kompetence je obecná připravenost učit se používat nástroje a programy rozšiřující možnosti.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1"/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Mezi soubory definovaných schopností pro digitální technologie ve vzdělávání patří standard The International Society for Technology in Education.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Nejnovější verze popisuje šest hlavních oblastí: tvořivost a inovace, komunikace a spolupráce, vyhledávání a zkoumání, práce s informacemi, kritické myšlení, řešení problémů, rozhodování, občanská výchova v digitálním věku a technologické procesy a koncepty.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DigCompEdu definuje 22 digitálních kompetencí učitele rozdělených do šesti oblastí. Digitální kompetence pedagogů zahrnují profesní zapojení učitele do práce s digitálními technologiemi. komunikaci s kolegy a žáky, profesní spolupráci a rozvoj a průběžnou spolupráci s ostatními žáky. Jednou z klíčových kompetencí pedagogů při práci je práce s s digitálními zdroji, kterými vytváří a upravuje digitální výuku. Při používání digitálních zdrojů se dodržují autorská práva, ochrana a sdílení digitálních zdrojů musí být respektováno. Technologie mohou zlepšit kvalitu výuky různými způsoby. Zavádění technologií do výuky souvisí se zaváděním nových postupů a metod. Digitálně kompetentní učitel musí zvládat vedení studentů, jejich spolupráci a samostatné učení. Důležité je, aby učitel mohl vytvářet strategie prostřednictvím digitálního hodnocení, analyzovat výsledky učení, získávat zpětnou vazbu a plánovat. Digitální technologie mají potenciál podporovat žáky, budovat přístup, inkluzi, diferenciaci, a individualizaci a aktivizovat žáky k učení.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4"/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Elektronické vzdělávání může být doplněno využíváním mobilních zařízení s možností rovnoměrné přístupu ke vzdělávacímu obsahu ať na počítačích nebo právě mobilních zařízeních.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Cílem rámce DigCompEdu je popsat a zachytit specifické dovednosti učitelů v oblasti využívání digitálních technologií. Pokud si chceme udržet konkurenceschopnost v Evropě a ve světě, nestačí nám vychovávat digitálně gramotné uživatele digitálních technologií, ale je třeba, abychom byli schopni využívat digitální technologie a vybavili žáky znalostmi a dovednostmi v oblasti informatiky. Fenomén dnešního informatického myšlení, poskytuje souhrn pohledů jak na to jak digitální technologie fungují.19 Strategie digitálního vzdělávání formuluje tři prioritní cíle, k nimž budou směřovat první intervence. Prvním cílem je otevřít vzdělávání novým metodám a způsobům učení prostřednictvím digitálních technologií. Druhým cílem je zlepšit kompetence žáků v oblasti práce s informacemi a digitálními technologiemi. a třetím cílem je trvale rozvíjet informatické myšlení žáků. Vývoj v oblasti digitálních technologií je velmi dynamický a je nemožné jej spolehlivě předvídat. Proto je v centru pozornosti strategie digitálního vzdělávání. Jedinec se s pomocí školy a dalších aktérů musí stát všestrannou osobností připravenou pro život. Proto nelze mít strategii digitálního vzdělávání za dlouhodobý statický dokument ale je třeba ji pravidelně revidovat, vyhodnocovat a aktualizovat. Transformace škol, a to nejen digitální, je možná pouze pomocí důvěry a neustálým vytvářením nových příležitostí. Navržené systémového nástroje digitálního rozvoje by měly být lékem, který dětem poskytne lepší přípravu nejen pro jejich osobní, ale i pracovní život.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 dnešní době je digitalizace samozřejmou součástí života celé společnosti.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 mnohé představují tyto technologie základ komunikace, přístupu k informacím, možnostem rozvoje a dalším důležitým funkcím v životě lidí. Jejich silná vliv proniká do všech oblastí života společnosti a stimuluje vývoj, který se neustále zrychluje a nelze jej zastavit. Mobilní technologie jsou postupně začleňovány do vzdělávání a ovlivňují rozvoj nových generací.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36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40" w:w="11920" w:orient="portrait"/>
      <w:pgMar w:bottom="280" w:top="1360" w:left="1340" w:right="13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MT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VRÁNOVÁ, M., J. GASPEROVÁ a Ľ. FILIPOVÁ. Vízia digitálneho vzdelávania v súčasných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podmienkach modernej školy. Digitalmag.sk [online]. Digital Science Magazine, 2016. [cit. 2019-02-03]. Dostupné z: http://www.digitalmag.sk/vizia-digitalneho-vzdelavania/.</w:t>
      </w:r>
    </w:p>
  </w:footnote>
  <w:footnote w:id="1"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SUCHOŽOVÁ, E., 2014, Rozvíjanie a hodnotenie kľúčových kompetencií v edukačnom procese.</w:t>
      </w:r>
    </w:p>
  </w:footnote>
  <w:footnote w:id="2"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NEUMAJER, O. Standardy technologických dovedností pro žáky od ISTE. Metodický portál: Články [online]. 2010, [cit. 2019-01-02]. ISSN 1802-4785. Dostupné z: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https://spomocnik.rvp.cz/clanek/10673/standardy-technologickych-dovednosti-pro -zaky-od-iste.html.</w:t>
      </w:r>
    </w:p>
  </w:footnote>
  <w:footnote w:id="3"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VRÁNOVÁ, M., J. GASPEROVÁ a Ľ. FILIPOVÁ. Vízia digitálneho vzdelávania v súčasných podmienkach modernej školy. Digitalmag.sk [online]. Digital Science Magazine, 2016. [cit. 2019-02-03].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Dostupné z: http://www.digitalmag.sk/vizia-digitalneho-vzdelavania/.</w:t>
      </w:r>
      <w:r w:rsidDel="00000000" w:rsidR="00000000" w:rsidRPr="00000000">
        <w:rPr>
          <w:rtl w:val="0"/>
        </w:rPr>
      </w:r>
    </w:p>
  </w:footnote>
  <w:footnote w:id="4"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NEUMAJER, O. Evropský rámec digitálních kompetencí pedagogů DigCompEdu. Metodický portál: Články [online]. 2018. [cit. 2019-04-02]. ISSN: 1802-4785. Dostupné z: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https://spomocnik.rvp.cz/clanek/21855/evropsky-ramec-digitalnich-kompetenci-p dagogu- digcompedu.html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widowControl w:val="1"/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MT" w:cs="Arial MT" w:eastAsia="Arial MT" w:hAnsi="Arial MT"/>
        <w:sz w:val="22"/>
        <w:szCs w:val="22"/>
        <w:lang w:val="cs-C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60" w:lineRule="auto"/>
      <w:ind w:left="100" w:right="115"/>
      <w:jc w:val="both"/>
    </w:pPr>
    <w:rPr>
      <w:sz w:val="52"/>
      <w:szCs w:val="52"/>
    </w:rPr>
  </w:style>
  <w:style w:type="paragraph" w:styleId="Normln" w:default="1">
    <w:name w:val="Normal"/>
    <w:qFormat w:val="1"/>
    <w:rPr>
      <w:rFonts w:ascii="Arial MT" w:cs="Arial MT" w:eastAsia="Arial MT" w:hAnsi="Arial MT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Zkladntext">
    <w:name w:val="Body Text"/>
    <w:basedOn w:val="Normln"/>
    <w:uiPriority w:val="1"/>
    <w:qFormat w:val="1"/>
  </w:style>
  <w:style w:type="paragraph" w:styleId="Nzev">
    <w:name w:val="Title"/>
    <w:basedOn w:val="Normln"/>
    <w:uiPriority w:val="10"/>
    <w:qFormat w:val="1"/>
    <w:pPr>
      <w:spacing w:before="60"/>
      <w:ind w:left="100" w:right="115"/>
      <w:jc w:val="both"/>
    </w:pPr>
    <w:rPr>
      <w:sz w:val="52"/>
      <w:szCs w:val="52"/>
    </w:rPr>
  </w:style>
  <w:style w:type="paragraph" w:styleId="Odstavecseseznamem">
    <w:name w:val="List Paragraph"/>
    <w:basedOn w:val="Normln"/>
    <w:uiPriority w:val="1"/>
    <w:qFormat w:val="1"/>
  </w:style>
  <w:style w:type="paragraph" w:styleId="TableParagraph" w:customStyle="1">
    <w:name w:val="Table Paragraph"/>
    <w:basedOn w:val="Normln"/>
    <w:uiPriority w:val="1"/>
    <w:qFormat w:val="1"/>
  </w:style>
  <w:style w:type="paragraph" w:styleId="Textpoznpodarou">
    <w:name w:val="footnote text"/>
    <w:basedOn w:val="Normln"/>
    <w:link w:val="TextpoznpodarouChar"/>
    <w:uiPriority w:val="99"/>
    <w:semiHidden w:val="1"/>
    <w:unhideWhenUsed w:val="1"/>
    <w:rsid w:val="00E21F68"/>
    <w:rPr>
      <w:sz w:val="20"/>
      <w:szCs w:val="20"/>
    </w:rPr>
  </w:style>
  <w:style w:type="character" w:styleId="TextpoznpodarouChar" w:customStyle="1">
    <w:name w:val="Text pozn. pod čarou Char"/>
    <w:basedOn w:val="Standardnpsmoodstavce"/>
    <w:link w:val="Textpoznpodarou"/>
    <w:uiPriority w:val="99"/>
    <w:semiHidden w:val="1"/>
    <w:rsid w:val="00E21F68"/>
    <w:rPr>
      <w:rFonts w:ascii="Arial MT" w:cs="Arial MT" w:eastAsia="Arial MT" w:hAnsi="Arial MT"/>
      <w:sz w:val="20"/>
      <w:szCs w:val="20"/>
    </w:rPr>
  </w:style>
  <w:style w:type="character" w:styleId="Znakapoznpodarou">
    <w:name w:val="footnote reference"/>
    <w:basedOn w:val="Standardnpsmoodstavce"/>
    <w:uiPriority w:val="99"/>
    <w:semiHidden w:val="1"/>
    <w:unhideWhenUsed w:val="1"/>
    <w:rsid w:val="00E21F68"/>
    <w:rPr>
      <w:vertAlign w:val="superscript"/>
    </w:rPr>
  </w:style>
  <w:style w:type="character" w:styleId="Hypertextovodkaz">
    <w:name w:val="Hyperlink"/>
    <w:basedOn w:val="Standardnpsmoodstavce"/>
    <w:uiPriority w:val="99"/>
    <w:unhideWhenUsed w:val="1"/>
    <w:rsid w:val="000A59D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 w:val="1"/>
    <w:unhideWhenUsed w:val="1"/>
    <w:rsid w:val="000A59D5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OfZpyZE9vYIVNfqGc7XJNxMJWg==">CgMxLjA4AHIhMVZkQkduYlpuXzVKTm5VVGZNeFVJWUdBT2F1N2ZJRHFW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2023-02-17T10:40:00Z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b3f0d18b644b92c5e2f8b9249ef0aa70e864495f39b288ab2592a994729f1e1e</vt:lpwstr>
  </property>
</Properties>
</file>