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FDBAAA" w14:textId="77777777" w:rsidR="005B7CB1" w:rsidRPr="005B7CB1" w:rsidRDefault="005B7CB1" w:rsidP="005B7CB1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5B7CB1">
        <w:rPr>
          <w:rFonts w:ascii="Arial" w:hAnsi="Arial" w:cs="Arial"/>
          <w:b/>
          <w:bCs/>
          <w:sz w:val="24"/>
          <w:szCs w:val="24"/>
        </w:rPr>
        <w:t>Zrównoważone inwestycje i finansowanie zielonej gospodarki</w:t>
      </w:r>
    </w:p>
    <w:p w14:paraId="61EEDE67" w14:textId="77777777" w:rsidR="005B7CB1" w:rsidRPr="005B7CB1" w:rsidRDefault="005B7CB1" w:rsidP="005B7CB1">
      <w:pPr>
        <w:spacing w:line="360" w:lineRule="auto"/>
        <w:rPr>
          <w:rFonts w:ascii="Arial" w:hAnsi="Arial" w:cs="Arial"/>
          <w:sz w:val="24"/>
          <w:szCs w:val="24"/>
        </w:rPr>
      </w:pPr>
      <w:r w:rsidRPr="005B7CB1">
        <w:rPr>
          <w:rFonts w:ascii="Arial" w:hAnsi="Arial" w:cs="Arial"/>
          <w:sz w:val="24"/>
          <w:szCs w:val="24"/>
        </w:rPr>
        <w:t>Zrównoważone inwestycje i finansowanie zielonej gospodarki stanowią ważny element w dążeniu do zrównoważonego rozwoju. Celem tych inwestycji jest połączenie celów finansowych z korzyściami dla środowiska i społeczeństwa. Wiele instytucji finansowych i rynków kapitałowych już teraz inwestuje w projekty zielonej gospodarki, aby przyczynić się do osiągnięcia celów zrównoważonego rozwoju.</w:t>
      </w:r>
    </w:p>
    <w:p w14:paraId="23D6FCAC" w14:textId="77777777" w:rsidR="005B7CB1" w:rsidRPr="005B7CB1" w:rsidRDefault="005B7CB1" w:rsidP="005B7CB1">
      <w:pPr>
        <w:spacing w:line="360" w:lineRule="auto"/>
        <w:rPr>
          <w:rFonts w:ascii="Arial" w:hAnsi="Arial" w:cs="Arial"/>
          <w:sz w:val="24"/>
          <w:szCs w:val="24"/>
        </w:rPr>
      </w:pPr>
      <w:r w:rsidRPr="005B7CB1">
        <w:rPr>
          <w:rFonts w:ascii="Arial" w:hAnsi="Arial" w:cs="Arial"/>
          <w:sz w:val="24"/>
          <w:szCs w:val="24"/>
        </w:rPr>
        <w:t>Jednym z kluczowych wyzwań jest zapewnienie dostępności odpowiedniego finansowania dla projektów zielonej gospodarki. Wiele projektów zielonej gospodarki wymaga dużych nakładów inwestycyjnych i wsparcia ze strony instytucji finansowych. Warto zwrócić uwagę na inwestycje publiczne, które mogą pomóc w stworzeniu odpowiedniego rynku i wsparciu dla zielonych inwestycji.</w:t>
      </w:r>
    </w:p>
    <w:p w14:paraId="09A81181" w14:textId="77777777" w:rsidR="005B7CB1" w:rsidRPr="005B7CB1" w:rsidRDefault="005B7CB1" w:rsidP="005B7CB1">
      <w:pPr>
        <w:spacing w:line="360" w:lineRule="auto"/>
        <w:rPr>
          <w:rFonts w:ascii="Arial" w:hAnsi="Arial" w:cs="Arial"/>
          <w:sz w:val="24"/>
          <w:szCs w:val="24"/>
        </w:rPr>
      </w:pPr>
      <w:r w:rsidRPr="005B7CB1">
        <w:rPr>
          <w:rFonts w:ascii="Arial" w:hAnsi="Arial" w:cs="Arial"/>
          <w:sz w:val="24"/>
          <w:szCs w:val="24"/>
        </w:rPr>
        <w:t>Kolejnym wyzwaniem jest zapewnienie, że zielone inwestycje będą opłacalne i będą generować odpowiednie zyski dla inwestorów. Aby to osiągnąć, ważne jest stworzenie odpowiednich regulacji i rynków, które zachęcą do inwestowania w projekty zielonej gospodarki.</w:t>
      </w:r>
    </w:p>
    <w:p w14:paraId="0FB42C20" w14:textId="77777777" w:rsidR="005B7CB1" w:rsidRPr="005B7CB1" w:rsidRDefault="005B7CB1" w:rsidP="005B7CB1">
      <w:pPr>
        <w:spacing w:line="360" w:lineRule="auto"/>
        <w:rPr>
          <w:rFonts w:ascii="Arial" w:hAnsi="Arial" w:cs="Arial"/>
          <w:sz w:val="24"/>
          <w:szCs w:val="24"/>
        </w:rPr>
      </w:pPr>
      <w:r w:rsidRPr="005B7CB1">
        <w:rPr>
          <w:rFonts w:ascii="Arial" w:hAnsi="Arial" w:cs="Arial"/>
          <w:sz w:val="24"/>
          <w:szCs w:val="24"/>
        </w:rPr>
        <w:t>Dobre praktyki w zakresie zrównoważonych inwestycji i finansowania zielonej gospodarki obejmują m.in.:</w:t>
      </w:r>
    </w:p>
    <w:p w14:paraId="0E0D8C30" w14:textId="77777777" w:rsidR="005B7CB1" w:rsidRPr="005B7CB1" w:rsidRDefault="005B7CB1" w:rsidP="005B7CB1">
      <w:pPr>
        <w:pStyle w:val="Akapitzlist"/>
        <w:numPr>
          <w:ilvl w:val="0"/>
          <w:numId w:val="30"/>
        </w:numPr>
        <w:spacing w:line="360" w:lineRule="auto"/>
        <w:rPr>
          <w:rFonts w:ascii="Arial" w:hAnsi="Arial" w:cs="Arial"/>
          <w:sz w:val="24"/>
          <w:szCs w:val="24"/>
        </w:rPr>
      </w:pPr>
      <w:r w:rsidRPr="005B7CB1">
        <w:rPr>
          <w:rFonts w:ascii="Arial" w:hAnsi="Arial" w:cs="Arial"/>
          <w:sz w:val="24"/>
          <w:szCs w:val="24"/>
        </w:rPr>
        <w:t>Inwestowanie w projekty zielonej gospodarki, które generują pozytywne efekty środowiskowe i społeczne. Może to być np. inwestowanie w odnawialne źródła energii, projekty efektywności energetycznej czy projekty zrównoważonego rozwoju.</w:t>
      </w:r>
    </w:p>
    <w:p w14:paraId="38C7C8A2" w14:textId="77777777" w:rsidR="005B7CB1" w:rsidRPr="005B7CB1" w:rsidRDefault="005B7CB1" w:rsidP="005B7CB1">
      <w:pPr>
        <w:pStyle w:val="Akapitzlist"/>
        <w:numPr>
          <w:ilvl w:val="0"/>
          <w:numId w:val="30"/>
        </w:numPr>
        <w:spacing w:line="360" w:lineRule="auto"/>
        <w:rPr>
          <w:rFonts w:ascii="Arial" w:hAnsi="Arial" w:cs="Arial"/>
          <w:sz w:val="24"/>
          <w:szCs w:val="24"/>
        </w:rPr>
      </w:pPr>
      <w:r w:rsidRPr="005B7CB1">
        <w:rPr>
          <w:rFonts w:ascii="Arial" w:hAnsi="Arial" w:cs="Arial"/>
          <w:sz w:val="24"/>
          <w:szCs w:val="24"/>
        </w:rPr>
        <w:t>Udział w inicjatywach i programach zrównoważonego inwestowania, takich jak certyfikacja zielonych inwestycji, aby zapewnić, że inwestycje są zgodne z wymogami zrównoważonego rozwoju.</w:t>
      </w:r>
    </w:p>
    <w:p w14:paraId="6368B55B" w14:textId="77777777" w:rsidR="005B7CB1" w:rsidRPr="005B7CB1" w:rsidRDefault="005B7CB1" w:rsidP="005B7CB1">
      <w:pPr>
        <w:pStyle w:val="Akapitzlist"/>
        <w:numPr>
          <w:ilvl w:val="0"/>
          <w:numId w:val="30"/>
        </w:numPr>
        <w:spacing w:line="360" w:lineRule="auto"/>
        <w:rPr>
          <w:rFonts w:ascii="Arial" w:hAnsi="Arial" w:cs="Arial"/>
          <w:sz w:val="24"/>
          <w:szCs w:val="24"/>
        </w:rPr>
      </w:pPr>
      <w:r w:rsidRPr="005B7CB1">
        <w:rPr>
          <w:rFonts w:ascii="Arial" w:hAnsi="Arial" w:cs="Arial"/>
          <w:sz w:val="24"/>
          <w:szCs w:val="24"/>
        </w:rPr>
        <w:t>Monitoring i raportowanie wpływu inwestycji na środowisko i społeczeństwo. Pomaga to zrozumieć, jakie korzyści przyniosły inwestycje i jakie są potrzeby dalszych działań.</w:t>
      </w:r>
    </w:p>
    <w:p w14:paraId="43026157" w14:textId="77777777" w:rsidR="005B7CB1" w:rsidRPr="005B7CB1" w:rsidRDefault="005B7CB1" w:rsidP="005B7CB1">
      <w:pPr>
        <w:pStyle w:val="Akapitzlist"/>
        <w:numPr>
          <w:ilvl w:val="0"/>
          <w:numId w:val="30"/>
        </w:numPr>
        <w:spacing w:line="360" w:lineRule="auto"/>
        <w:rPr>
          <w:rFonts w:ascii="Arial" w:hAnsi="Arial" w:cs="Arial"/>
          <w:sz w:val="24"/>
          <w:szCs w:val="24"/>
        </w:rPr>
      </w:pPr>
      <w:r w:rsidRPr="005B7CB1">
        <w:rPr>
          <w:rFonts w:ascii="Arial" w:hAnsi="Arial" w:cs="Arial"/>
          <w:sz w:val="24"/>
          <w:szCs w:val="24"/>
        </w:rPr>
        <w:t>Edukacja i informowanie inwestorów o korzyściach płynących z zielonych inwestycji, aby zachęcać ich do inwestowania w projekty zielonej gospodarki.</w:t>
      </w:r>
    </w:p>
    <w:p w14:paraId="4D5D150E" w14:textId="77777777" w:rsidR="005B7CB1" w:rsidRPr="005B7CB1" w:rsidRDefault="005B7CB1" w:rsidP="005B7CB1">
      <w:pPr>
        <w:pStyle w:val="Akapitzlist"/>
        <w:numPr>
          <w:ilvl w:val="0"/>
          <w:numId w:val="30"/>
        </w:numPr>
        <w:spacing w:line="360" w:lineRule="auto"/>
        <w:rPr>
          <w:rFonts w:ascii="Arial" w:hAnsi="Arial" w:cs="Arial"/>
          <w:sz w:val="24"/>
          <w:szCs w:val="24"/>
        </w:rPr>
      </w:pPr>
      <w:r w:rsidRPr="005B7CB1">
        <w:rPr>
          <w:rFonts w:ascii="Arial" w:hAnsi="Arial" w:cs="Arial"/>
          <w:sz w:val="24"/>
          <w:szCs w:val="24"/>
        </w:rPr>
        <w:lastRenderedPageBreak/>
        <w:t>Współpraca z rządem i innymi instytucjami, aby stworzyć odpowiednie regulacje i rynki, które zachęcą do zrównoważonych inwestycji.</w:t>
      </w:r>
    </w:p>
    <w:p w14:paraId="06FD9ABF" w14:textId="77777777" w:rsidR="005B7CB1" w:rsidRPr="005B7CB1" w:rsidRDefault="005B7CB1" w:rsidP="005B7CB1">
      <w:pPr>
        <w:pStyle w:val="Akapitzlist"/>
        <w:numPr>
          <w:ilvl w:val="0"/>
          <w:numId w:val="30"/>
        </w:numPr>
        <w:spacing w:line="360" w:lineRule="auto"/>
        <w:rPr>
          <w:rFonts w:ascii="Arial" w:hAnsi="Arial" w:cs="Arial"/>
          <w:sz w:val="24"/>
          <w:szCs w:val="24"/>
        </w:rPr>
      </w:pPr>
      <w:r w:rsidRPr="005B7CB1">
        <w:rPr>
          <w:rFonts w:ascii="Arial" w:hAnsi="Arial" w:cs="Arial"/>
          <w:sz w:val="24"/>
          <w:szCs w:val="24"/>
        </w:rPr>
        <w:t>Współpraca z różnymi sektorami, aby zapewnić, że zrównoważone inwestycje są korzystne dla wszystkich stron i przyczyniają się do osiągnięcia celów zrównoważonego rozwoju.</w:t>
      </w:r>
    </w:p>
    <w:p w14:paraId="4A265100" w14:textId="77777777" w:rsidR="005B7CB1" w:rsidRPr="005B7CB1" w:rsidRDefault="005B7CB1" w:rsidP="005B7CB1">
      <w:pPr>
        <w:pStyle w:val="Akapitzlist"/>
        <w:numPr>
          <w:ilvl w:val="0"/>
          <w:numId w:val="30"/>
        </w:numPr>
        <w:spacing w:line="360" w:lineRule="auto"/>
        <w:rPr>
          <w:rFonts w:ascii="Arial" w:hAnsi="Arial" w:cs="Arial"/>
          <w:sz w:val="24"/>
          <w:szCs w:val="24"/>
        </w:rPr>
      </w:pPr>
      <w:r w:rsidRPr="005B7CB1">
        <w:rPr>
          <w:rFonts w:ascii="Arial" w:hAnsi="Arial" w:cs="Arial"/>
          <w:sz w:val="24"/>
          <w:szCs w:val="24"/>
        </w:rPr>
        <w:t>Stosowanie transparentnych i jasnych kryteriów inwestycyjnych, aby zapewnić, że inwestycje są zgodne z wartościami i celami zrównoważonego rozwoju.</w:t>
      </w:r>
    </w:p>
    <w:p w14:paraId="3AFE4F02" w14:textId="77777777" w:rsidR="005B7CB1" w:rsidRPr="005B7CB1" w:rsidRDefault="005B7CB1" w:rsidP="005B7CB1">
      <w:pPr>
        <w:spacing w:line="360" w:lineRule="auto"/>
        <w:rPr>
          <w:rFonts w:ascii="Arial" w:hAnsi="Arial" w:cs="Arial"/>
          <w:sz w:val="24"/>
          <w:szCs w:val="24"/>
        </w:rPr>
      </w:pPr>
      <w:r w:rsidRPr="005B7CB1">
        <w:rPr>
          <w:rFonts w:ascii="Arial" w:hAnsi="Arial" w:cs="Arial"/>
          <w:sz w:val="24"/>
          <w:szCs w:val="24"/>
        </w:rPr>
        <w:t>Podsumowując, zrównoważone inwestycje i finansowanie zielonej gospodarki są kluczowe dla osiągnięcia celów zrównoważonego rozwoju. Ważne jest, aby zapewnić odpowiednie finansowanie i regulacje dla projektów zielonej gospodarki, aby były one opłacalne dla inwestorów i przyniosły korzyści dla środowiska i społeczeństwa. W ten sposób możemy zapewnić, że nasze działania będą korzystne dla naszej planety i naszej gospodarki w przyszłości.</w:t>
      </w:r>
    </w:p>
    <w:p w14:paraId="6EDC0402" w14:textId="2146D3F4" w:rsidR="00BC3A65" w:rsidRPr="005B7CB1" w:rsidRDefault="00BC3A65" w:rsidP="005B7CB1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5B7CB1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1A4AD1" w14:textId="77777777" w:rsidR="00740A3E" w:rsidRDefault="00740A3E" w:rsidP="003C513B">
      <w:pPr>
        <w:spacing w:after="0" w:line="240" w:lineRule="auto"/>
      </w:pPr>
      <w:r>
        <w:separator/>
      </w:r>
    </w:p>
  </w:endnote>
  <w:endnote w:type="continuationSeparator" w:id="0">
    <w:p w14:paraId="089E55C7" w14:textId="77777777" w:rsidR="00740A3E" w:rsidRDefault="00740A3E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B0F3A9" w14:textId="77777777" w:rsidR="00740A3E" w:rsidRDefault="00740A3E" w:rsidP="003C513B">
      <w:pPr>
        <w:spacing w:after="0" w:line="240" w:lineRule="auto"/>
      </w:pPr>
      <w:r>
        <w:separator/>
      </w:r>
    </w:p>
  </w:footnote>
  <w:footnote w:type="continuationSeparator" w:id="0">
    <w:p w14:paraId="4B184016" w14:textId="77777777" w:rsidR="00740A3E" w:rsidRDefault="00740A3E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5233E"/>
    <w:multiLevelType w:val="hybridMultilevel"/>
    <w:tmpl w:val="61509D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6F6C9C"/>
    <w:multiLevelType w:val="hybridMultilevel"/>
    <w:tmpl w:val="BDC6DEF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68A2578"/>
    <w:multiLevelType w:val="hybridMultilevel"/>
    <w:tmpl w:val="4AD2CE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C121B2"/>
    <w:multiLevelType w:val="hybridMultilevel"/>
    <w:tmpl w:val="D376D6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1B93CC6"/>
    <w:multiLevelType w:val="hybridMultilevel"/>
    <w:tmpl w:val="AC0A99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DF0296"/>
    <w:multiLevelType w:val="hybridMultilevel"/>
    <w:tmpl w:val="04DA60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5F12D9"/>
    <w:multiLevelType w:val="hybridMultilevel"/>
    <w:tmpl w:val="A38221EC"/>
    <w:lvl w:ilvl="0" w:tplc="D0BC66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FF2D710">
      <w:start w:val="1"/>
      <w:numFmt w:val="lowerLetter"/>
      <w:lvlText w:val="%2."/>
      <w:lvlJc w:val="left"/>
      <w:pPr>
        <w:ind w:left="1440" w:hanging="360"/>
      </w:pPr>
    </w:lvl>
    <w:lvl w:ilvl="2" w:tplc="3B00F580">
      <w:start w:val="1"/>
      <w:numFmt w:val="lowerRoman"/>
      <w:lvlText w:val="%3."/>
      <w:lvlJc w:val="right"/>
      <w:pPr>
        <w:ind w:left="2160" w:hanging="180"/>
      </w:pPr>
    </w:lvl>
    <w:lvl w:ilvl="3" w:tplc="D1205FF8">
      <w:start w:val="1"/>
      <w:numFmt w:val="decimal"/>
      <w:lvlText w:val="%4."/>
      <w:lvlJc w:val="left"/>
      <w:pPr>
        <w:ind w:left="2880" w:hanging="360"/>
      </w:pPr>
    </w:lvl>
    <w:lvl w:ilvl="4" w:tplc="484291A6">
      <w:start w:val="1"/>
      <w:numFmt w:val="lowerLetter"/>
      <w:lvlText w:val="%5."/>
      <w:lvlJc w:val="left"/>
      <w:pPr>
        <w:ind w:left="3600" w:hanging="360"/>
      </w:pPr>
    </w:lvl>
    <w:lvl w:ilvl="5" w:tplc="0E02B93A">
      <w:start w:val="1"/>
      <w:numFmt w:val="lowerRoman"/>
      <w:lvlText w:val="%6."/>
      <w:lvlJc w:val="right"/>
      <w:pPr>
        <w:ind w:left="4320" w:hanging="180"/>
      </w:pPr>
    </w:lvl>
    <w:lvl w:ilvl="6" w:tplc="5426C434">
      <w:start w:val="1"/>
      <w:numFmt w:val="decimal"/>
      <w:lvlText w:val="%7."/>
      <w:lvlJc w:val="left"/>
      <w:pPr>
        <w:ind w:left="5040" w:hanging="360"/>
      </w:pPr>
    </w:lvl>
    <w:lvl w:ilvl="7" w:tplc="8154F23A">
      <w:start w:val="1"/>
      <w:numFmt w:val="lowerLetter"/>
      <w:lvlText w:val="%8."/>
      <w:lvlJc w:val="left"/>
      <w:pPr>
        <w:ind w:left="5760" w:hanging="360"/>
      </w:pPr>
    </w:lvl>
    <w:lvl w:ilvl="8" w:tplc="29B8BEDA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2433E85"/>
    <w:multiLevelType w:val="hybridMultilevel"/>
    <w:tmpl w:val="8FCE76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6B43242"/>
    <w:multiLevelType w:val="hybridMultilevel"/>
    <w:tmpl w:val="A9222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A0F6229"/>
    <w:multiLevelType w:val="hybridMultilevel"/>
    <w:tmpl w:val="2CA66A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A2247B2"/>
    <w:multiLevelType w:val="hybridMultilevel"/>
    <w:tmpl w:val="6A14F6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A80605A"/>
    <w:multiLevelType w:val="hybridMultilevel"/>
    <w:tmpl w:val="34EC88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B4B38F9"/>
    <w:multiLevelType w:val="hybridMultilevel"/>
    <w:tmpl w:val="B8367DE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13"/>
  </w:num>
  <w:num w:numId="3" w16cid:durableId="1869222873">
    <w:abstractNumId w:val="28"/>
  </w:num>
  <w:num w:numId="4" w16cid:durableId="765223711">
    <w:abstractNumId w:val="16"/>
  </w:num>
  <w:num w:numId="5" w16cid:durableId="1859393560">
    <w:abstractNumId w:val="19"/>
  </w:num>
  <w:num w:numId="6" w16cid:durableId="12462334">
    <w:abstractNumId w:val="6"/>
  </w:num>
  <w:num w:numId="7" w16cid:durableId="1699433921">
    <w:abstractNumId w:val="18"/>
  </w:num>
  <w:num w:numId="8" w16cid:durableId="579145953">
    <w:abstractNumId w:val="10"/>
  </w:num>
  <w:num w:numId="9" w16cid:durableId="890191826">
    <w:abstractNumId w:val="2"/>
  </w:num>
  <w:num w:numId="10" w16cid:durableId="1330791937">
    <w:abstractNumId w:val="29"/>
  </w:num>
  <w:num w:numId="11" w16cid:durableId="2055889689">
    <w:abstractNumId w:val="9"/>
  </w:num>
  <w:num w:numId="12" w16cid:durableId="1278173027">
    <w:abstractNumId w:val="11"/>
  </w:num>
  <w:num w:numId="13" w16cid:durableId="2083017393">
    <w:abstractNumId w:val="0"/>
  </w:num>
  <w:num w:numId="14" w16cid:durableId="129370183">
    <w:abstractNumId w:val="4"/>
  </w:num>
  <w:num w:numId="15" w16cid:durableId="1911381169">
    <w:abstractNumId w:val="17"/>
  </w:num>
  <w:num w:numId="16" w16cid:durableId="990334470">
    <w:abstractNumId w:val="12"/>
  </w:num>
  <w:num w:numId="17" w16cid:durableId="2126151035">
    <w:abstractNumId w:val="20"/>
  </w:num>
  <w:num w:numId="18" w16cid:durableId="682441160">
    <w:abstractNumId w:val="21"/>
  </w:num>
  <w:num w:numId="19" w16cid:durableId="1288899643">
    <w:abstractNumId w:val="23"/>
  </w:num>
  <w:num w:numId="20" w16cid:durableId="1961379106">
    <w:abstractNumId w:val="25"/>
  </w:num>
  <w:num w:numId="21" w16cid:durableId="1773239667">
    <w:abstractNumId w:val="14"/>
  </w:num>
  <w:num w:numId="22" w16cid:durableId="1714691864">
    <w:abstractNumId w:val="3"/>
  </w:num>
  <w:num w:numId="23" w16cid:durableId="1516380449">
    <w:abstractNumId w:val="22"/>
  </w:num>
  <w:num w:numId="24" w16cid:durableId="1630889923">
    <w:abstractNumId w:val="15"/>
  </w:num>
  <w:num w:numId="25" w16cid:durableId="2007127911">
    <w:abstractNumId w:val="8"/>
  </w:num>
  <w:num w:numId="26" w16cid:durableId="812332923">
    <w:abstractNumId w:val="26"/>
  </w:num>
  <w:num w:numId="27" w16cid:durableId="695958560">
    <w:abstractNumId w:val="24"/>
  </w:num>
  <w:num w:numId="28" w16cid:durableId="142041128">
    <w:abstractNumId w:val="5"/>
  </w:num>
  <w:num w:numId="29" w16cid:durableId="2082286957">
    <w:abstractNumId w:val="27"/>
  </w:num>
  <w:num w:numId="30" w16cid:durableId="101477103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81B5E"/>
    <w:rsid w:val="000A27CE"/>
    <w:rsid w:val="000F4DCC"/>
    <w:rsid w:val="001035C6"/>
    <w:rsid w:val="00107859"/>
    <w:rsid w:val="00126CA9"/>
    <w:rsid w:val="00274104"/>
    <w:rsid w:val="002C2DDA"/>
    <w:rsid w:val="002D05E6"/>
    <w:rsid w:val="003217E6"/>
    <w:rsid w:val="0032719A"/>
    <w:rsid w:val="00380DC2"/>
    <w:rsid w:val="0039795B"/>
    <w:rsid w:val="003C513B"/>
    <w:rsid w:val="003E4B73"/>
    <w:rsid w:val="004071BA"/>
    <w:rsid w:val="0041227E"/>
    <w:rsid w:val="0042728B"/>
    <w:rsid w:val="004561EB"/>
    <w:rsid w:val="00493DBF"/>
    <w:rsid w:val="004B4FA7"/>
    <w:rsid w:val="004E3DF7"/>
    <w:rsid w:val="0052608F"/>
    <w:rsid w:val="00532104"/>
    <w:rsid w:val="00537297"/>
    <w:rsid w:val="005716CB"/>
    <w:rsid w:val="005B7CB1"/>
    <w:rsid w:val="005E0AD1"/>
    <w:rsid w:val="00610660"/>
    <w:rsid w:val="006B7F8F"/>
    <w:rsid w:val="006D492E"/>
    <w:rsid w:val="006E1235"/>
    <w:rsid w:val="006F0ACA"/>
    <w:rsid w:val="0070016C"/>
    <w:rsid w:val="00701A65"/>
    <w:rsid w:val="00730978"/>
    <w:rsid w:val="00740A3E"/>
    <w:rsid w:val="00750138"/>
    <w:rsid w:val="00762FE2"/>
    <w:rsid w:val="007C3F63"/>
    <w:rsid w:val="00846B6E"/>
    <w:rsid w:val="0086099D"/>
    <w:rsid w:val="0086458A"/>
    <w:rsid w:val="00887461"/>
    <w:rsid w:val="00906E72"/>
    <w:rsid w:val="009134E3"/>
    <w:rsid w:val="009647AF"/>
    <w:rsid w:val="009E1C8D"/>
    <w:rsid w:val="00A522DA"/>
    <w:rsid w:val="00A6169F"/>
    <w:rsid w:val="00A639C0"/>
    <w:rsid w:val="00B750C1"/>
    <w:rsid w:val="00BC3A65"/>
    <w:rsid w:val="00BE2595"/>
    <w:rsid w:val="00BF196C"/>
    <w:rsid w:val="00BF2E85"/>
    <w:rsid w:val="00C4247B"/>
    <w:rsid w:val="00C5668E"/>
    <w:rsid w:val="00D147D8"/>
    <w:rsid w:val="00D17D05"/>
    <w:rsid w:val="00D30B78"/>
    <w:rsid w:val="00D84D69"/>
    <w:rsid w:val="00DB01BF"/>
    <w:rsid w:val="00DD3FE2"/>
    <w:rsid w:val="00E147BD"/>
    <w:rsid w:val="00E163D8"/>
    <w:rsid w:val="00E32704"/>
    <w:rsid w:val="00E968BB"/>
    <w:rsid w:val="00EB054A"/>
    <w:rsid w:val="00ED4421"/>
    <w:rsid w:val="00EF5A6D"/>
    <w:rsid w:val="00F14273"/>
    <w:rsid w:val="00F406B0"/>
    <w:rsid w:val="00F40BF3"/>
    <w:rsid w:val="00F73300"/>
    <w:rsid w:val="00F8280A"/>
    <w:rsid w:val="00FA277C"/>
    <w:rsid w:val="00FB4863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400</Words>
  <Characters>2403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2023-03-01T23:22:00Z</dcterms:created>
  <dcterms:modified xsi:type="dcterms:W3CDTF">2023-03-01T23:22:00Z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