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D2FC58" w14:textId="77777777" w:rsidR="00A6169F" w:rsidRPr="00A6169F" w:rsidRDefault="00A6169F" w:rsidP="00A6169F">
      <w:pPr>
        <w:spacing w:line="360" w:lineRule="auto"/>
        <w:rPr>
          <w:rFonts w:ascii="Arial" w:hAnsi="Arial" w:cs="Arial"/>
          <w:b/>
          <w:bCs/>
          <w:sz w:val="24"/>
          <w:szCs w:val="24"/>
        </w:rPr>
      </w:pPr>
      <w:r w:rsidRPr="00A6169F">
        <w:rPr>
          <w:rFonts w:ascii="Arial" w:hAnsi="Arial" w:cs="Arial"/>
          <w:b/>
          <w:bCs/>
          <w:sz w:val="24"/>
          <w:szCs w:val="24"/>
        </w:rPr>
        <w:t>Zielona gospodarka – rolnictwo</w:t>
      </w:r>
    </w:p>
    <w:p w14:paraId="0D27A8FE" w14:textId="77777777" w:rsidR="00A6169F" w:rsidRPr="00A6169F" w:rsidRDefault="00A6169F" w:rsidP="00A6169F">
      <w:pPr>
        <w:spacing w:line="360" w:lineRule="auto"/>
        <w:rPr>
          <w:rFonts w:ascii="Arial" w:hAnsi="Arial" w:cs="Arial"/>
          <w:sz w:val="24"/>
          <w:szCs w:val="24"/>
        </w:rPr>
      </w:pPr>
    </w:p>
    <w:p w14:paraId="458AD6C3" w14:textId="77777777" w:rsidR="00A6169F" w:rsidRPr="00A6169F" w:rsidRDefault="00A6169F" w:rsidP="00A6169F">
      <w:pPr>
        <w:spacing w:line="360" w:lineRule="auto"/>
        <w:rPr>
          <w:rFonts w:ascii="Arial" w:hAnsi="Arial" w:cs="Arial"/>
          <w:b/>
          <w:bCs/>
          <w:sz w:val="24"/>
          <w:szCs w:val="24"/>
        </w:rPr>
      </w:pPr>
      <w:r w:rsidRPr="00A6169F">
        <w:rPr>
          <w:rFonts w:ascii="Arial" w:hAnsi="Arial" w:cs="Arial"/>
          <w:b/>
          <w:bCs/>
          <w:sz w:val="24"/>
          <w:szCs w:val="24"/>
        </w:rPr>
        <w:t xml:space="preserve">Zielona gospodarka to szerokie pojęcie obejmujące wiele sfer życia. Można zdefiniować ją jako szereg decyzji i działań, których efektem jest poprawa jakości życia społeczeństwa oraz poprawa stanu środowiska. Dążenie do wprowadzenia zasad zielonej gospodarki jest kluczowe zarówno dla społeczności globalnej jak i dla pojedynczego człowieka, który funkcjonując w świecie </w:t>
      </w:r>
      <w:proofErr w:type="spellStart"/>
      <w:r w:rsidRPr="00A6169F">
        <w:rPr>
          <w:rFonts w:ascii="Arial" w:hAnsi="Arial" w:cs="Arial"/>
          <w:b/>
          <w:bCs/>
          <w:sz w:val="24"/>
          <w:szCs w:val="24"/>
        </w:rPr>
        <w:t>nieekologicznym</w:t>
      </w:r>
      <w:proofErr w:type="spellEnd"/>
      <w:r w:rsidRPr="00A6169F">
        <w:rPr>
          <w:rFonts w:ascii="Arial" w:hAnsi="Arial" w:cs="Arial"/>
          <w:b/>
          <w:bCs/>
          <w:sz w:val="24"/>
          <w:szCs w:val="24"/>
        </w:rPr>
        <w:t xml:space="preserve"> każdego dnia naraża swoje zdrowie i życie.</w:t>
      </w:r>
    </w:p>
    <w:p w14:paraId="7A5DE368" w14:textId="77777777" w:rsidR="00A6169F" w:rsidRPr="00A6169F" w:rsidRDefault="00A6169F" w:rsidP="00A6169F">
      <w:pPr>
        <w:spacing w:line="360" w:lineRule="auto"/>
        <w:rPr>
          <w:rFonts w:ascii="Arial" w:hAnsi="Arial" w:cs="Arial"/>
          <w:sz w:val="24"/>
          <w:szCs w:val="24"/>
        </w:rPr>
      </w:pPr>
    </w:p>
    <w:p w14:paraId="7EEA148C" w14:textId="77777777" w:rsidR="00A6169F" w:rsidRPr="00A6169F" w:rsidRDefault="00A6169F" w:rsidP="00A6169F">
      <w:pPr>
        <w:spacing w:line="360" w:lineRule="auto"/>
        <w:rPr>
          <w:rFonts w:ascii="Arial" w:hAnsi="Arial" w:cs="Arial"/>
          <w:sz w:val="24"/>
          <w:szCs w:val="24"/>
        </w:rPr>
      </w:pPr>
      <w:r w:rsidRPr="00A6169F">
        <w:rPr>
          <w:rFonts w:ascii="Arial" w:hAnsi="Arial" w:cs="Arial"/>
          <w:sz w:val="24"/>
          <w:szCs w:val="24"/>
        </w:rPr>
        <w:t>Jednym z wielu sektorów gospodarki, który konsekwentnie należy przekształcać w ekologiczny jest rolnictwo. Rola sektora rolniczego w społeczeństwie jest niezwykle istotna, jednak często bagatelizowana. Niezbędne jest wprowadzanie dobrych praktyk związanych z przekształceniem rolnictwa zarówno na poziomie międzynarodowym, krajowym jak i indywidualnym, czyli wśród konsumentów.</w:t>
      </w:r>
    </w:p>
    <w:p w14:paraId="75234427" w14:textId="77777777" w:rsidR="00A6169F" w:rsidRPr="00A6169F" w:rsidRDefault="00A6169F" w:rsidP="00A6169F">
      <w:pPr>
        <w:spacing w:line="360" w:lineRule="auto"/>
        <w:rPr>
          <w:rFonts w:ascii="Arial" w:hAnsi="Arial" w:cs="Arial"/>
          <w:sz w:val="24"/>
          <w:szCs w:val="24"/>
        </w:rPr>
      </w:pPr>
    </w:p>
    <w:p w14:paraId="64FA91C3" w14:textId="77777777" w:rsidR="00A6169F" w:rsidRPr="00A6169F" w:rsidRDefault="00A6169F" w:rsidP="00A6169F">
      <w:pPr>
        <w:spacing w:line="360" w:lineRule="auto"/>
        <w:rPr>
          <w:rFonts w:ascii="Arial" w:hAnsi="Arial" w:cs="Arial"/>
          <w:sz w:val="24"/>
          <w:szCs w:val="24"/>
        </w:rPr>
      </w:pPr>
      <w:r w:rsidRPr="00A6169F">
        <w:rPr>
          <w:rFonts w:ascii="Arial" w:hAnsi="Arial" w:cs="Arial"/>
          <w:sz w:val="24"/>
          <w:szCs w:val="24"/>
        </w:rPr>
        <w:t>Wyzwaniem dla dzisiejszego sektora rolniczego jest szybki wzrost liczby ludności, a co za tym idzie zapotrzebowanie na żywność również wzrasta. Rolnicy nie powinni jednak stawiać na sztucznie przyspieszone procesy produkcji żywności, które są szkodliwe dla środowiska oraz ludzi. Na poziomie krajowym istotna jest dostępność do informacji oraz edukacja ekologiczna zarówno dla przedsiębiorców sektora rolniczego jak i dla konsumentów. Wydatki rządowe na rozwój rolnictwa powinny utrzymywać się na stabilnym wysokim poziomie tak, aby wsparcie edukacyjne dla rolników było realne i trwałe. Wiedza na temat nowych technologii oraz znaczenia ekologicznego rolnictwa jest głównym zapalnikiem do zmian, które nie będą następować szybko, ale za to efekt będzie długofalowy.</w:t>
      </w:r>
    </w:p>
    <w:p w14:paraId="7BB6E0F2" w14:textId="77777777" w:rsidR="00A6169F" w:rsidRPr="00A6169F" w:rsidRDefault="00A6169F" w:rsidP="00A6169F">
      <w:pPr>
        <w:spacing w:line="360" w:lineRule="auto"/>
        <w:rPr>
          <w:rFonts w:ascii="Arial" w:hAnsi="Arial" w:cs="Arial"/>
          <w:sz w:val="24"/>
          <w:szCs w:val="24"/>
        </w:rPr>
      </w:pPr>
    </w:p>
    <w:p w14:paraId="31E08E77" w14:textId="77777777" w:rsidR="00A6169F" w:rsidRPr="00A6169F" w:rsidRDefault="00A6169F" w:rsidP="00A6169F">
      <w:pPr>
        <w:spacing w:line="360" w:lineRule="auto"/>
        <w:rPr>
          <w:rFonts w:ascii="Arial" w:hAnsi="Arial" w:cs="Arial"/>
          <w:sz w:val="24"/>
          <w:szCs w:val="24"/>
        </w:rPr>
      </w:pPr>
      <w:r w:rsidRPr="00A6169F">
        <w:rPr>
          <w:rFonts w:ascii="Arial" w:hAnsi="Arial" w:cs="Arial"/>
          <w:sz w:val="24"/>
          <w:szCs w:val="24"/>
        </w:rPr>
        <w:t xml:space="preserve">Istotnym narzędziem w rękach poszczególnych krajów jest także wiarygodny mechanizm certyfikacji produktów ekologicznych. Przedsiębiorca wspierany przez rząd znacznie szybciej i skuteczniej zmieni swoje gospodarstwo w ekologiczne i </w:t>
      </w:r>
      <w:r w:rsidRPr="00A6169F">
        <w:rPr>
          <w:rFonts w:ascii="Arial" w:hAnsi="Arial" w:cs="Arial"/>
          <w:sz w:val="24"/>
          <w:szCs w:val="24"/>
        </w:rPr>
        <w:lastRenderedPageBreak/>
        <w:t>przede wszystkim będzie dążył do utrzymania takiego stanu, aby nie stracić certyfikatu jakości i profitów, jakie wiążą się z jego posiadaniem.</w:t>
      </w:r>
    </w:p>
    <w:p w14:paraId="0EC62A19" w14:textId="77777777" w:rsidR="00A6169F" w:rsidRPr="00A6169F" w:rsidRDefault="00A6169F" w:rsidP="00A6169F">
      <w:pPr>
        <w:spacing w:line="360" w:lineRule="auto"/>
        <w:rPr>
          <w:rFonts w:ascii="Arial" w:hAnsi="Arial" w:cs="Arial"/>
          <w:sz w:val="24"/>
          <w:szCs w:val="24"/>
        </w:rPr>
      </w:pPr>
    </w:p>
    <w:p w14:paraId="6349C3C4" w14:textId="77777777" w:rsidR="00A6169F" w:rsidRPr="00A6169F" w:rsidRDefault="00A6169F" w:rsidP="00A6169F">
      <w:pPr>
        <w:spacing w:line="360" w:lineRule="auto"/>
        <w:rPr>
          <w:rFonts w:ascii="Arial" w:hAnsi="Arial" w:cs="Arial"/>
          <w:sz w:val="24"/>
          <w:szCs w:val="24"/>
        </w:rPr>
      </w:pPr>
      <w:r w:rsidRPr="00A6169F">
        <w:rPr>
          <w:rFonts w:ascii="Arial" w:hAnsi="Arial" w:cs="Arial"/>
          <w:sz w:val="24"/>
          <w:szCs w:val="24"/>
        </w:rPr>
        <w:t>Dobre praktyki najczęściej stosowane wśród ekologicznych gospodarstw rolnych to:</w:t>
      </w:r>
    </w:p>
    <w:p w14:paraId="1FE8295F" w14:textId="77777777" w:rsidR="00A6169F" w:rsidRPr="00A6169F" w:rsidRDefault="00A6169F" w:rsidP="00A6169F">
      <w:pPr>
        <w:pStyle w:val="Akapitzlist"/>
        <w:numPr>
          <w:ilvl w:val="0"/>
          <w:numId w:val="12"/>
        </w:numPr>
        <w:spacing w:after="0" w:line="360" w:lineRule="auto"/>
        <w:rPr>
          <w:rFonts w:ascii="Arial" w:hAnsi="Arial" w:cs="Arial"/>
          <w:sz w:val="24"/>
          <w:szCs w:val="24"/>
        </w:rPr>
      </w:pPr>
      <w:r w:rsidRPr="00A6169F">
        <w:rPr>
          <w:rFonts w:ascii="Arial" w:hAnsi="Arial" w:cs="Arial"/>
          <w:sz w:val="24"/>
          <w:szCs w:val="24"/>
        </w:rPr>
        <w:t>Restrykcyjne ograniczenia w zakresie stosowania nawozów sztucznych, antybiotyków, pestycydów, regulatorów wzrostu i innych substancji wspomagających przetwarzanie żywności.</w:t>
      </w:r>
    </w:p>
    <w:p w14:paraId="2887DBF5" w14:textId="77777777" w:rsidR="00A6169F" w:rsidRPr="00A6169F" w:rsidRDefault="00A6169F" w:rsidP="00A6169F">
      <w:pPr>
        <w:pStyle w:val="Akapitzlist"/>
        <w:numPr>
          <w:ilvl w:val="0"/>
          <w:numId w:val="12"/>
        </w:numPr>
        <w:spacing w:after="0" w:line="360" w:lineRule="auto"/>
        <w:rPr>
          <w:rFonts w:ascii="Arial" w:hAnsi="Arial" w:cs="Arial"/>
          <w:sz w:val="24"/>
          <w:szCs w:val="24"/>
        </w:rPr>
      </w:pPr>
      <w:r w:rsidRPr="00A6169F">
        <w:rPr>
          <w:rFonts w:ascii="Arial" w:hAnsi="Arial" w:cs="Arial"/>
          <w:sz w:val="24"/>
          <w:szCs w:val="24"/>
        </w:rPr>
        <w:t>Produkcja w cyklu zamkniętym gleba – roślina – zwierzę.</w:t>
      </w:r>
    </w:p>
    <w:p w14:paraId="7F0E138D" w14:textId="77777777" w:rsidR="00A6169F" w:rsidRPr="00A6169F" w:rsidRDefault="00A6169F" w:rsidP="00A6169F">
      <w:pPr>
        <w:pStyle w:val="Akapitzlist"/>
        <w:numPr>
          <w:ilvl w:val="0"/>
          <w:numId w:val="12"/>
        </w:numPr>
        <w:spacing w:after="0" w:line="360" w:lineRule="auto"/>
        <w:rPr>
          <w:rFonts w:ascii="Arial" w:hAnsi="Arial" w:cs="Arial"/>
          <w:sz w:val="24"/>
          <w:szCs w:val="24"/>
        </w:rPr>
      </w:pPr>
      <w:r w:rsidRPr="00A6169F">
        <w:rPr>
          <w:rFonts w:ascii="Arial" w:hAnsi="Arial" w:cs="Arial"/>
          <w:sz w:val="24"/>
          <w:szCs w:val="24"/>
        </w:rPr>
        <w:t>Stosowanie naturalnych nawozów.</w:t>
      </w:r>
    </w:p>
    <w:p w14:paraId="5A110859" w14:textId="77777777" w:rsidR="00A6169F" w:rsidRPr="00A6169F" w:rsidRDefault="00A6169F" w:rsidP="00A6169F">
      <w:pPr>
        <w:pStyle w:val="Akapitzlist"/>
        <w:numPr>
          <w:ilvl w:val="0"/>
          <w:numId w:val="12"/>
        </w:numPr>
        <w:spacing w:after="0" w:line="360" w:lineRule="auto"/>
        <w:rPr>
          <w:rFonts w:ascii="Arial" w:hAnsi="Arial" w:cs="Arial"/>
          <w:sz w:val="24"/>
          <w:szCs w:val="24"/>
        </w:rPr>
      </w:pPr>
      <w:r w:rsidRPr="00A6169F">
        <w:rPr>
          <w:rFonts w:ascii="Arial" w:hAnsi="Arial" w:cs="Arial"/>
          <w:sz w:val="24"/>
          <w:szCs w:val="24"/>
        </w:rPr>
        <w:t>Wybór odpowiednich dla danego środowiska gatunków roślin i ras zwierząt, dostosowanych do lokalnych warunków oraz odpornych na choroby.</w:t>
      </w:r>
    </w:p>
    <w:p w14:paraId="5A7A2F8C" w14:textId="77777777" w:rsidR="00A6169F" w:rsidRPr="00A6169F" w:rsidRDefault="00A6169F" w:rsidP="00A6169F">
      <w:pPr>
        <w:pStyle w:val="Akapitzlist"/>
        <w:numPr>
          <w:ilvl w:val="0"/>
          <w:numId w:val="12"/>
        </w:numPr>
        <w:spacing w:after="0" w:line="360" w:lineRule="auto"/>
        <w:rPr>
          <w:rFonts w:ascii="Arial" w:hAnsi="Arial" w:cs="Arial"/>
          <w:sz w:val="24"/>
          <w:szCs w:val="24"/>
        </w:rPr>
      </w:pPr>
      <w:r w:rsidRPr="00A6169F">
        <w:rPr>
          <w:rFonts w:ascii="Arial" w:hAnsi="Arial" w:cs="Arial"/>
          <w:sz w:val="24"/>
          <w:szCs w:val="24"/>
        </w:rPr>
        <w:t>Odpowiednio dostosowane pomieszczenia dla zwierząt, stosowanie idei wolnego wybiegu.</w:t>
      </w:r>
    </w:p>
    <w:p w14:paraId="1C7EF94F" w14:textId="77777777" w:rsidR="00A6169F" w:rsidRPr="00A6169F" w:rsidRDefault="00A6169F" w:rsidP="00A6169F">
      <w:pPr>
        <w:spacing w:line="360" w:lineRule="auto"/>
        <w:rPr>
          <w:rFonts w:ascii="Arial" w:hAnsi="Arial" w:cs="Arial"/>
          <w:sz w:val="24"/>
          <w:szCs w:val="24"/>
        </w:rPr>
      </w:pPr>
    </w:p>
    <w:p w14:paraId="4E2F114F" w14:textId="77777777" w:rsidR="00A6169F" w:rsidRPr="00A6169F" w:rsidRDefault="00A6169F" w:rsidP="00A6169F">
      <w:pPr>
        <w:spacing w:line="360" w:lineRule="auto"/>
        <w:rPr>
          <w:rFonts w:ascii="Arial" w:hAnsi="Arial" w:cs="Arial"/>
          <w:sz w:val="24"/>
          <w:szCs w:val="24"/>
        </w:rPr>
      </w:pPr>
      <w:r w:rsidRPr="00A6169F">
        <w:rPr>
          <w:rFonts w:ascii="Arial" w:hAnsi="Arial" w:cs="Arial"/>
          <w:sz w:val="24"/>
          <w:szCs w:val="24"/>
        </w:rPr>
        <w:t>Jak w każdym sektorze istotną rolę odgrywa również konsument, którego dobre praktyki wpływają na rozwój zielonej gospodarki. W przypadku rolnictwa klienci powinni przede wszystkim korzystać z krótkiego łańcucha dostaw – zaopatrywać się w produkty od sprawdzonych producentów, najlepiej lokalnych. Rynki, targi czy w obecnych czasach Internet to dobre miejsca do poszukiwanie świeżych i ekologicznych produktów.</w:t>
      </w:r>
    </w:p>
    <w:p w14:paraId="7EB7D3B8" w14:textId="77777777" w:rsidR="00A6169F" w:rsidRPr="00A6169F" w:rsidRDefault="00A6169F" w:rsidP="00A6169F">
      <w:pPr>
        <w:spacing w:line="360" w:lineRule="auto"/>
        <w:rPr>
          <w:rFonts w:ascii="Arial" w:hAnsi="Arial" w:cs="Arial"/>
          <w:sz w:val="24"/>
          <w:szCs w:val="24"/>
        </w:rPr>
      </w:pPr>
    </w:p>
    <w:p w14:paraId="6D4239BE" w14:textId="77777777" w:rsidR="00A6169F" w:rsidRPr="00A6169F" w:rsidRDefault="00A6169F" w:rsidP="00A6169F">
      <w:pPr>
        <w:spacing w:line="360" w:lineRule="auto"/>
        <w:rPr>
          <w:rFonts w:ascii="Arial" w:hAnsi="Arial" w:cs="Arial"/>
          <w:sz w:val="24"/>
          <w:szCs w:val="24"/>
        </w:rPr>
      </w:pPr>
      <w:r w:rsidRPr="00A6169F">
        <w:rPr>
          <w:rFonts w:ascii="Arial" w:hAnsi="Arial" w:cs="Arial"/>
          <w:sz w:val="24"/>
          <w:szCs w:val="24"/>
        </w:rPr>
        <w:t xml:space="preserve">Podobnie jak w przypadku przedsiębiorców niezwykle istotna jest edukacja wśród konsumentów. Poszerzanie świadomości wpływa na decyzyjność – konsument świadomy swoich wyborów będzie unikał chemicznych, niezdrowych produktów, a stawiał na te ekologiczne. Kolejną dobrą praktyką (na szczęście coraz częściej zauważalną) jest sprawdzanie etykiet oraz oznaczeń na opakowaniach towarów. W tym wypadku konsument powinien zwracać uwagę na certyfikaty jakości oraz skład produktów. Wiąże się to w dużej mierze z edukacją ekologiczną – jeśli zdajemy sobie </w:t>
      </w:r>
      <w:r w:rsidRPr="00A6169F">
        <w:rPr>
          <w:rFonts w:ascii="Arial" w:hAnsi="Arial" w:cs="Arial"/>
          <w:sz w:val="24"/>
          <w:szCs w:val="24"/>
        </w:rPr>
        <w:lastRenderedPageBreak/>
        <w:t>sprawę, z czym łączy się spożywanie nadmiernej ilości E129 i E220 nigdy nie sięgniemy po wyroby, w których znajdują się te substancje.</w:t>
      </w:r>
    </w:p>
    <w:p w14:paraId="6EDC0402" w14:textId="2146D3F4" w:rsidR="00BC3A65" w:rsidRPr="00A6169F" w:rsidRDefault="00BC3A65" w:rsidP="00A6169F">
      <w:pPr>
        <w:spacing w:line="360" w:lineRule="auto"/>
        <w:rPr>
          <w:rFonts w:ascii="Arial" w:hAnsi="Arial" w:cs="Arial"/>
          <w:sz w:val="24"/>
          <w:szCs w:val="24"/>
        </w:rPr>
      </w:pPr>
    </w:p>
    <w:sectPr w:rsidR="00BC3A65" w:rsidRPr="00A6169F"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85621C" w14:textId="77777777" w:rsidR="00E444E2" w:rsidRDefault="00E444E2" w:rsidP="003C513B">
      <w:pPr>
        <w:spacing w:after="0" w:line="240" w:lineRule="auto"/>
      </w:pPr>
      <w:r>
        <w:separator/>
      </w:r>
    </w:p>
  </w:endnote>
  <w:endnote w:type="continuationSeparator" w:id="0">
    <w:p w14:paraId="58CC1CC7" w14:textId="77777777" w:rsidR="00E444E2" w:rsidRDefault="00E444E2"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755838" w14:textId="77777777" w:rsidR="00E444E2" w:rsidRDefault="00E444E2" w:rsidP="003C513B">
      <w:pPr>
        <w:spacing w:after="0" w:line="240" w:lineRule="auto"/>
      </w:pPr>
      <w:r>
        <w:separator/>
      </w:r>
    </w:p>
  </w:footnote>
  <w:footnote w:type="continuationSeparator" w:id="0">
    <w:p w14:paraId="3113BB02" w14:textId="77777777" w:rsidR="00E444E2" w:rsidRDefault="00E444E2"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 w15:restartNumberingAfterBreak="0">
    <w:nsid w:val="1B6D5A20"/>
    <w:multiLevelType w:val="hybridMultilevel"/>
    <w:tmpl w:val="3BE089F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340F4FDF"/>
    <w:multiLevelType w:val="hybridMultilevel"/>
    <w:tmpl w:val="D5D861FE"/>
    <w:lvl w:ilvl="0" w:tplc="D09EDDEA">
      <w:start w:val="3"/>
      <w:numFmt w:val="bullet"/>
      <w:lvlText w:val=""/>
      <w:lvlJc w:val="left"/>
      <w:pPr>
        <w:ind w:left="720" w:hanging="360"/>
      </w:pPr>
      <w:rPr>
        <w:rFonts w:ascii="Symbol" w:eastAsiaTheme="minorHAnsi" w:hAnsi="Symbol" w:cstheme="minorBidi" w:hint="default"/>
      </w:rPr>
    </w:lvl>
    <w:lvl w:ilvl="1" w:tplc="F41682A8">
      <w:start w:val="1"/>
      <w:numFmt w:val="bullet"/>
      <w:lvlText w:val="o"/>
      <w:lvlJc w:val="left"/>
      <w:pPr>
        <w:ind w:left="1440" w:hanging="360"/>
      </w:pPr>
      <w:rPr>
        <w:rFonts w:ascii="Courier New" w:hAnsi="Courier New" w:cs="Courier New" w:hint="default"/>
      </w:rPr>
    </w:lvl>
    <w:lvl w:ilvl="2" w:tplc="D4460690">
      <w:start w:val="1"/>
      <w:numFmt w:val="bullet"/>
      <w:lvlText w:val=""/>
      <w:lvlJc w:val="left"/>
      <w:pPr>
        <w:ind w:left="2160" w:hanging="360"/>
      </w:pPr>
      <w:rPr>
        <w:rFonts w:ascii="Wingdings" w:hAnsi="Wingdings" w:hint="default"/>
      </w:rPr>
    </w:lvl>
    <w:lvl w:ilvl="3" w:tplc="1F8A6F46">
      <w:start w:val="1"/>
      <w:numFmt w:val="bullet"/>
      <w:lvlText w:val=""/>
      <w:lvlJc w:val="left"/>
      <w:pPr>
        <w:ind w:left="2880" w:hanging="360"/>
      </w:pPr>
      <w:rPr>
        <w:rFonts w:ascii="Symbol" w:hAnsi="Symbol" w:hint="default"/>
      </w:rPr>
    </w:lvl>
    <w:lvl w:ilvl="4" w:tplc="3CD2D6B8">
      <w:start w:val="1"/>
      <w:numFmt w:val="bullet"/>
      <w:lvlText w:val="o"/>
      <w:lvlJc w:val="left"/>
      <w:pPr>
        <w:ind w:left="3600" w:hanging="360"/>
      </w:pPr>
      <w:rPr>
        <w:rFonts w:ascii="Courier New" w:hAnsi="Courier New" w:cs="Courier New" w:hint="default"/>
      </w:rPr>
    </w:lvl>
    <w:lvl w:ilvl="5" w:tplc="F7AACBDC">
      <w:start w:val="1"/>
      <w:numFmt w:val="bullet"/>
      <w:lvlText w:val=""/>
      <w:lvlJc w:val="left"/>
      <w:pPr>
        <w:ind w:left="4320" w:hanging="360"/>
      </w:pPr>
      <w:rPr>
        <w:rFonts w:ascii="Wingdings" w:hAnsi="Wingdings" w:hint="default"/>
      </w:rPr>
    </w:lvl>
    <w:lvl w:ilvl="6" w:tplc="581C9986">
      <w:start w:val="1"/>
      <w:numFmt w:val="bullet"/>
      <w:lvlText w:val=""/>
      <w:lvlJc w:val="left"/>
      <w:pPr>
        <w:ind w:left="5040" w:hanging="360"/>
      </w:pPr>
      <w:rPr>
        <w:rFonts w:ascii="Symbol" w:hAnsi="Symbol" w:hint="default"/>
      </w:rPr>
    </w:lvl>
    <w:lvl w:ilvl="7" w:tplc="34B8BEDA">
      <w:start w:val="1"/>
      <w:numFmt w:val="bullet"/>
      <w:lvlText w:val="o"/>
      <w:lvlJc w:val="left"/>
      <w:pPr>
        <w:ind w:left="5760" w:hanging="360"/>
      </w:pPr>
      <w:rPr>
        <w:rFonts w:ascii="Courier New" w:hAnsi="Courier New" w:cs="Courier New" w:hint="default"/>
      </w:rPr>
    </w:lvl>
    <w:lvl w:ilvl="8" w:tplc="2F54FD3C">
      <w:start w:val="1"/>
      <w:numFmt w:val="bullet"/>
      <w:lvlText w:val=""/>
      <w:lvlJc w:val="left"/>
      <w:pPr>
        <w:ind w:left="6480" w:hanging="360"/>
      </w:pPr>
      <w:rPr>
        <w:rFonts w:ascii="Wingdings" w:hAnsi="Wingdings" w:hint="default"/>
      </w:rPr>
    </w:lvl>
  </w:abstractNum>
  <w:abstractNum w:abstractNumId="4"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42A916E0"/>
    <w:multiLevelType w:val="hybridMultilevel"/>
    <w:tmpl w:val="7026F374"/>
    <w:lvl w:ilvl="0" w:tplc="4C9ED124">
      <w:start w:val="1"/>
      <w:numFmt w:val="bullet"/>
      <w:lvlText w:val=""/>
      <w:lvlJc w:val="left"/>
      <w:pPr>
        <w:ind w:left="720" w:hanging="360"/>
      </w:pPr>
      <w:rPr>
        <w:rFonts w:ascii="Symbol" w:eastAsiaTheme="minorHAnsi" w:hAnsi="Symbol" w:cstheme="minorBidi" w:hint="default"/>
      </w:rPr>
    </w:lvl>
    <w:lvl w:ilvl="1" w:tplc="DBF4E1EA">
      <w:start w:val="1"/>
      <w:numFmt w:val="bullet"/>
      <w:lvlText w:val="o"/>
      <w:lvlJc w:val="left"/>
      <w:pPr>
        <w:ind w:left="1440" w:hanging="360"/>
      </w:pPr>
      <w:rPr>
        <w:rFonts w:ascii="Courier New" w:hAnsi="Courier New" w:cs="Courier New" w:hint="default"/>
      </w:rPr>
    </w:lvl>
    <w:lvl w:ilvl="2" w:tplc="4FD042DC">
      <w:start w:val="1"/>
      <w:numFmt w:val="bullet"/>
      <w:lvlText w:val=""/>
      <w:lvlJc w:val="left"/>
      <w:pPr>
        <w:ind w:left="2160" w:hanging="360"/>
      </w:pPr>
      <w:rPr>
        <w:rFonts w:ascii="Wingdings" w:hAnsi="Wingdings" w:hint="default"/>
      </w:rPr>
    </w:lvl>
    <w:lvl w:ilvl="3" w:tplc="5C22112A">
      <w:start w:val="1"/>
      <w:numFmt w:val="bullet"/>
      <w:lvlText w:val=""/>
      <w:lvlJc w:val="left"/>
      <w:pPr>
        <w:ind w:left="2880" w:hanging="360"/>
      </w:pPr>
      <w:rPr>
        <w:rFonts w:ascii="Symbol" w:hAnsi="Symbol" w:hint="default"/>
      </w:rPr>
    </w:lvl>
    <w:lvl w:ilvl="4" w:tplc="CCEC17A6">
      <w:start w:val="1"/>
      <w:numFmt w:val="bullet"/>
      <w:lvlText w:val="o"/>
      <w:lvlJc w:val="left"/>
      <w:pPr>
        <w:ind w:left="3600" w:hanging="360"/>
      </w:pPr>
      <w:rPr>
        <w:rFonts w:ascii="Courier New" w:hAnsi="Courier New" w:cs="Courier New" w:hint="default"/>
      </w:rPr>
    </w:lvl>
    <w:lvl w:ilvl="5" w:tplc="C2A0313E">
      <w:start w:val="1"/>
      <w:numFmt w:val="bullet"/>
      <w:lvlText w:val=""/>
      <w:lvlJc w:val="left"/>
      <w:pPr>
        <w:ind w:left="4320" w:hanging="360"/>
      </w:pPr>
      <w:rPr>
        <w:rFonts w:ascii="Wingdings" w:hAnsi="Wingdings" w:hint="default"/>
      </w:rPr>
    </w:lvl>
    <w:lvl w:ilvl="6" w:tplc="87684332">
      <w:start w:val="1"/>
      <w:numFmt w:val="bullet"/>
      <w:lvlText w:val=""/>
      <w:lvlJc w:val="left"/>
      <w:pPr>
        <w:ind w:left="5040" w:hanging="360"/>
      </w:pPr>
      <w:rPr>
        <w:rFonts w:ascii="Symbol" w:hAnsi="Symbol" w:hint="default"/>
      </w:rPr>
    </w:lvl>
    <w:lvl w:ilvl="7" w:tplc="5EE03CB8">
      <w:start w:val="1"/>
      <w:numFmt w:val="bullet"/>
      <w:lvlText w:val="o"/>
      <w:lvlJc w:val="left"/>
      <w:pPr>
        <w:ind w:left="5760" w:hanging="360"/>
      </w:pPr>
      <w:rPr>
        <w:rFonts w:ascii="Courier New" w:hAnsi="Courier New" w:cs="Courier New" w:hint="default"/>
      </w:rPr>
    </w:lvl>
    <w:lvl w:ilvl="8" w:tplc="B00C6434">
      <w:start w:val="1"/>
      <w:numFmt w:val="bullet"/>
      <w:lvlText w:val=""/>
      <w:lvlJc w:val="left"/>
      <w:pPr>
        <w:ind w:left="6480" w:hanging="360"/>
      </w:pPr>
      <w:rPr>
        <w:rFonts w:ascii="Wingdings" w:hAnsi="Wingdings" w:hint="default"/>
      </w:rPr>
    </w:lvl>
  </w:abstractNum>
  <w:abstractNum w:abstractNumId="6"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0"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7DF43CF0"/>
    <w:multiLevelType w:val="hybridMultilevel"/>
    <w:tmpl w:val="E6C24848"/>
    <w:lvl w:ilvl="0" w:tplc="85B879CC">
      <w:start w:val="8"/>
      <w:numFmt w:val="bullet"/>
      <w:lvlText w:val=""/>
      <w:lvlJc w:val="left"/>
      <w:pPr>
        <w:ind w:left="720" w:hanging="360"/>
      </w:pPr>
      <w:rPr>
        <w:rFonts w:ascii="Symbol" w:eastAsiaTheme="minorHAnsi" w:hAnsi="Symbol" w:cstheme="minorBidi" w:hint="default"/>
      </w:rPr>
    </w:lvl>
    <w:lvl w:ilvl="1" w:tplc="26AAAE1E">
      <w:start w:val="1"/>
      <w:numFmt w:val="bullet"/>
      <w:lvlText w:val="o"/>
      <w:lvlJc w:val="left"/>
      <w:pPr>
        <w:ind w:left="1440" w:hanging="360"/>
      </w:pPr>
      <w:rPr>
        <w:rFonts w:ascii="Courier New" w:hAnsi="Courier New" w:cs="Courier New" w:hint="default"/>
      </w:rPr>
    </w:lvl>
    <w:lvl w:ilvl="2" w:tplc="27CAFE7E">
      <w:start w:val="1"/>
      <w:numFmt w:val="bullet"/>
      <w:lvlText w:val=""/>
      <w:lvlJc w:val="left"/>
      <w:pPr>
        <w:ind w:left="2160" w:hanging="360"/>
      </w:pPr>
      <w:rPr>
        <w:rFonts w:ascii="Wingdings" w:hAnsi="Wingdings" w:hint="default"/>
      </w:rPr>
    </w:lvl>
    <w:lvl w:ilvl="3" w:tplc="B720E792">
      <w:start w:val="1"/>
      <w:numFmt w:val="bullet"/>
      <w:lvlText w:val=""/>
      <w:lvlJc w:val="left"/>
      <w:pPr>
        <w:ind w:left="2880" w:hanging="360"/>
      </w:pPr>
      <w:rPr>
        <w:rFonts w:ascii="Symbol" w:hAnsi="Symbol" w:hint="default"/>
      </w:rPr>
    </w:lvl>
    <w:lvl w:ilvl="4" w:tplc="83B89866">
      <w:start w:val="1"/>
      <w:numFmt w:val="bullet"/>
      <w:lvlText w:val="o"/>
      <w:lvlJc w:val="left"/>
      <w:pPr>
        <w:ind w:left="3600" w:hanging="360"/>
      </w:pPr>
      <w:rPr>
        <w:rFonts w:ascii="Courier New" w:hAnsi="Courier New" w:cs="Courier New" w:hint="default"/>
      </w:rPr>
    </w:lvl>
    <w:lvl w:ilvl="5" w:tplc="1F7412D2">
      <w:start w:val="1"/>
      <w:numFmt w:val="bullet"/>
      <w:lvlText w:val=""/>
      <w:lvlJc w:val="left"/>
      <w:pPr>
        <w:ind w:left="4320" w:hanging="360"/>
      </w:pPr>
      <w:rPr>
        <w:rFonts w:ascii="Wingdings" w:hAnsi="Wingdings" w:hint="default"/>
      </w:rPr>
    </w:lvl>
    <w:lvl w:ilvl="6" w:tplc="5AEC6118">
      <w:start w:val="1"/>
      <w:numFmt w:val="bullet"/>
      <w:lvlText w:val=""/>
      <w:lvlJc w:val="left"/>
      <w:pPr>
        <w:ind w:left="5040" w:hanging="360"/>
      </w:pPr>
      <w:rPr>
        <w:rFonts w:ascii="Symbol" w:hAnsi="Symbol" w:hint="default"/>
      </w:rPr>
    </w:lvl>
    <w:lvl w:ilvl="7" w:tplc="56A44F2E">
      <w:start w:val="1"/>
      <w:numFmt w:val="bullet"/>
      <w:lvlText w:val="o"/>
      <w:lvlJc w:val="left"/>
      <w:pPr>
        <w:ind w:left="5760" w:hanging="360"/>
      </w:pPr>
      <w:rPr>
        <w:rFonts w:ascii="Courier New" w:hAnsi="Courier New" w:cs="Courier New" w:hint="default"/>
      </w:rPr>
    </w:lvl>
    <w:lvl w:ilvl="8" w:tplc="090ECB7E">
      <w:start w:val="1"/>
      <w:numFmt w:val="bullet"/>
      <w:lvlText w:val=""/>
      <w:lvlJc w:val="left"/>
      <w:pPr>
        <w:ind w:left="6480" w:hanging="360"/>
      </w:pPr>
      <w:rPr>
        <w:rFonts w:ascii="Wingdings" w:hAnsi="Wingdings" w:hint="default"/>
      </w:rPr>
    </w:lvl>
  </w:abstractNum>
  <w:num w:numId="1" w16cid:durableId="1597904674">
    <w:abstractNumId w:val="0"/>
  </w:num>
  <w:num w:numId="2" w16cid:durableId="696547362">
    <w:abstractNumId w:val="6"/>
  </w:num>
  <w:num w:numId="3" w16cid:durableId="1869222873">
    <w:abstractNumId w:val="10"/>
  </w:num>
  <w:num w:numId="4" w16cid:durableId="765223711">
    <w:abstractNumId w:val="7"/>
  </w:num>
  <w:num w:numId="5" w16cid:durableId="1859393560">
    <w:abstractNumId w:val="9"/>
  </w:num>
  <w:num w:numId="6" w16cid:durableId="12462334">
    <w:abstractNumId w:val="2"/>
  </w:num>
  <w:num w:numId="7" w16cid:durableId="1699433921">
    <w:abstractNumId w:val="8"/>
  </w:num>
  <w:num w:numId="8" w16cid:durableId="579145953">
    <w:abstractNumId w:val="4"/>
  </w:num>
  <w:num w:numId="9" w16cid:durableId="890191826">
    <w:abstractNumId w:val="1"/>
  </w:num>
  <w:num w:numId="10" w16cid:durableId="1330791937">
    <w:abstractNumId w:val="11"/>
  </w:num>
  <w:num w:numId="11" w16cid:durableId="2055889689">
    <w:abstractNumId w:val="3"/>
  </w:num>
  <w:num w:numId="12" w16cid:durableId="127817302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604B3"/>
    <w:rsid w:val="000813C3"/>
    <w:rsid w:val="000F4DCC"/>
    <w:rsid w:val="00107859"/>
    <w:rsid w:val="00126CA9"/>
    <w:rsid w:val="002C2DDA"/>
    <w:rsid w:val="00380DC2"/>
    <w:rsid w:val="003C513B"/>
    <w:rsid w:val="003E4B73"/>
    <w:rsid w:val="004071BA"/>
    <w:rsid w:val="0041227E"/>
    <w:rsid w:val="004561EB"/>
    <w:rsid w:val="0052608F"/>
    <w:rsid w:val="00537297"/>
    <w:rsid w:val="005E0AD1"/>
    <w:rsid w:val="006F0ACA"/>
    <w:rsid w:val="00701A65"/>
    <w:rsid w:val="00750138"/>
    <w:rsid w:val="007C3F63"/>
    <w:rsid w:val="0086458A"/>
    <w:rsid w:val="00906E72"/>
    <w:rsid w:val="009647AF"/>
    <w:rsid w:val="00A522DA"/>
    <w:rsid w:val="00A6169F"/>
    <w:rsid w:val="00BC3A65"/>
    <w:rsid w:val="00BE2595"/>
    <w:rsid w:val="00BF196C"/>
    <w:rsid w:val="00D84D69"/>
    <w:rsid w:val="00DB01BF"/>
    <w:rsid w:val="00DD3FE2"/>
    <w:rsid w:val="00E147BD"/>
    <w:rsid w:val="00E163D8"/>
    <w:rsid w:val="00E444E2"/>
    <w:rsid w:val="00EB054A"/>
    <w:rsid w:val="00EF5A6D"/>
    <w:rsid w:val="00F73300"/>
    <w:rsid w:val="00F8280A"/>
    <w:rsid w:val="00FA277C"/>
    <w:rsid w:val="00FB5EF6"/>
    <w:rsid w:val="00FC364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8961CF9-8D7A-4A4B-8C4B-0C1BEB856BA4}">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0AD5D78F-E2F8-4456-8716-472EEA57CB93}">
  <ds:schemaRefs>
    <ds:schemaRef ds:uri="http://schemas.microsoft.com/sharepoint/v3/contenttype/forms"/>
  </ds:schemaRefs>
</ds:datastoreItem>
</file>

<file path=customXml/itemProps3.xml><?xml version="1.0" encoding="utf-8"?>
<ds:datastoreItem xmlns:ds="http://schemas.openxmlformats.org/officeDocument/2006/customXml" ds:itemID="{6C35A6A1-5BC0-418E-8C5E-C0CC731886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520</Words>
  <Characters>3122</Characters>
  <Application>Microsoft Office Word</Application>
  <DocSecurity>0</DocSecurity>
  <Lines>26</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3</cp:revision>
  <dcterms:created xsi:type="dcterms:W3CDTF">2023-03-01T23:12:00Z</dcterms:created>
  <dcterms:modified xsi:type="dcterms:W3CDTF">2023-03-01T23:12:00Z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