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1537EE6" w14:textId="77777777" w:rsidR="00BB53DC" w:rsidRPr="000F68FC" w:rsidRDefault="00BB53DC" w:rsidP="000F68FC">
      <w:pPr>
        <w:spacing w:line="360" w:lineRule="auto"/>
        <w:jc w:val="center"/>
        <w:rPr>
          <w:rFonts w:ascii="Arial" w:hAnsi="Arial" w:cs="Arial"/>
          <w:b/>
          <w:bCs/>
          <w:sz w:val="24"/>
          <w:szCs w:val="24"/>
        </w:rPr>
      </w:pPr>
      <w:r w:rsidRPr="000F68FC">
        <w:rPr>
          <w:rFonts w:ascii="Arial" w:hAnsi="Arial" w:cs="Arial"/>
          <w:b/>
          <w:bCs/>
          <w:sz w:val="24"/>
          <w:szCs w:val="24"/>
        </w:rPr>
        <w:t>Ekologiczne standardy hodowli zwierząt</w:t>
      </w:r>
    </w:p>
    <w:p w14:paraId="7B37DD05" w14:textId="77777777" w:rsidR="00BB53DC" w:rsidRPr="000F68FC" w:rsidRDefault="00BB53DC" w:rsidP="000F68FC">
      <w:pPr>
        <w:spacing w:line="360" w:lineRule="auto"/>
        <w:rPr>
          <w:rFonts w:ascii="Arial" w:hAnsi="Arial" w:cs="Arial"/>
          <w:sz w:val="24"/>
          <w:szCs w:val="24"/>
        </w:rPr>
      </w:pPr>
      <w:r w:rsidRPr="000F68FC">
        <w:rPr>
          <w:rFonts w:ascii="Arial" w:hAnsi="Arial" w:cs="Arial"/>
          <w:sz w:val="24"/>
          <w:szCs w:val="24"/>
        </w:rPr>
        <w:t>Hodowla zwierząt, znana również jako rolnictwo zwierzęce, jest praktyką podnoszenia i hodowli zwierząt dla żywności, włókna lub innych produktów. Może to obejmować różne zwierzęta, w tym bydło, świnie, owce, kurczaki i inne. Hodowla zwierząt może być prowadzona na małą skalę do konsumpcji osobistej lub na dużą skalę do celów komercyjnych. Metody stosowane w hodowli zwierząt mogą być bardzo różne, od tradycyjnych praktyk, które są stosunkowo mało zaawansowane technologicznie i pracochłonne do wysoce zaawansowanych operacji przemysłowych. Niektóre z kwestii związanych z hodowlą zwierząt obejmują troskę o dobrostan zwierząt, wpływ na środowisko oraz względy ekonomiczne, takie jak koszt paszy i pracy. Trwa debata na temat najlepszych praktyk w hodowli zwierząt oraz sposobu równoważenia potrzeb zwierząt, rolników, konsumentów i środowiska.</w:t>
      </w:r>
    </w:p>
    <w:p w14:paraId="2927141C" w14:textId="77777777" w:rsidR="00BB53DC" w:rsidRPr="000F68FC" w:rsidRDefault="00BB53DC" w:rsidP="000F68FC">
      <w:pPr>
        <w:spacing w:line="360" w:lineRule="auto"/>
        <w:rPr>
          <w:rFonts w:ascii="Arial" w:hAnsi="Arial" w:cs="Arial"/>
          <w:sz w:val="24"/>
          <w:szCs w:val="24"/>
        </w:rPr>
      </w:pPr>
      <w:r w:rsidRPr="000F68FC">
        <w:rPr>
          <w:rFonts w:ascii="Arial" w:hAnsi="Arial" w:cs="Arial"/>
          <w:sz w:val="24"/>
          <w:szCs w:val="24"/>
        </w:rPr>
        <w:t>Normy ekologiczne dla hodowli zwierząt mają na celu zapewnienie ochrony środowiska, dobrostanu zwierząt i zdrowia publicznego. Normy te są opracowywane w celu dostarczenia wytycznych dla zrównoważonego i przyjaznego dla środowiska rolnictwa zwierząt. Poniżej przedstawiono kluczowe aspekty standardów ekologicznych dla hodowli zwierząt.</w:t>
      </w:r>
    </w:p>
    <w:p w14:paraId="5B3B4EF6" w14:textId="77777777" w:rsidR="00BB53DC" w:rsidRPr="000F68FC" w:rsidRDefault="00BB53DC" w:rsidP="000F68FC">
      <w:pPr>
        <w:spacing w:line="360" w:lineRule="auto"/>
        <w:rPr>
          <w:rFonts w:ascii="Arial" w:hAnsi="Arial" w:cs="Arial"/>
          <w:sz w:val="24"/>
          <w:szCs w:val="24"/>
        </w:rPr>
      </w:pPr>
      <w:r w:rsidRPr="000F68FC">
        <w:rPr>
          <w:rFonts w:ascii="Arial" w:hAnsi="Arial" w:cs="Arial"/>
          <w:sz w:val="24"/>
          <w:szCs w:val="24"/>
        </w:rPr>
        <w:t>Ekologiczna hodowla zwierząt wymaga zarządzania wodą i glebą w sposób, który zapewnia zrównoważony rozwój i ochronę środowiska. Oto kilka ważnych kroków, jakie można podjąć w tym celu:</w:t>
      </w:r>
    </w:p>
    <w:p w14:paraId="0D511693" w14:textId="77777777" w:rsidR="00BB53DC" w:rsidRPr="000F68FC" w:rsidRDefault="00BB53DC" w:rsidP="000F68FC">
      <w:pPr>
        <w:spacing w:line="360" w:lineRule="auto"/>
        <w:rPr>
          <w:rFonts w:ascii="Arial" w:hAnsi="Arial" w:cs="Arial"/>
          <w:sz w:val="24"/>
          <w:szCs w:val="24"/>
        </w:rPr>
      </w:pPr>
      <w:r w:rsidRPr="000F68FC">
        <w:rPr>
          <w:rFonts w:ascii="Arial" w:hAnsi="Arial" w:cs="Arial"/>
          <w:sz w:val="24"/>
          <w:szCs w:val="24"/>
        </w:rPr>
        <w:t>Zarządzanie glebą i wodą: Hodowla zwierząt może mieć znaczący wpływ na glebę i zasoby wodne. Standardy ekologiczne zachęcają do stosowania technik takich jak uprawa okrywowa, zmniejszona uprawa roli oraz integracja upraw i zwierząt gospodarskich w celu poprawy zdrowia gleby i zmniejszenia zanieczyszczenia wody. Zarządzanie wodą i glebą przy ekologicznej hodowli zwierząt</w:t>
      </w:r>
    </w:p>
    <w:p w14:paraId="7ADBCBC2" w14:textId="77777777" w:rsidR="00BB53DC" w:rsidRPr="000F68FC" w:rsidRDefault="00BB53DC" w:rsidP="000F68FC">
      <w:pPr>
        <w:spacing w:line="360" w:lineRule="auto"/>
        <w:rPr>
          <w:rFonts w:ascii="Arial" w:hAnsi="Arial" w:cs="Arial"/>
          <w:sz w:val="24"/>
          <w:szCs w:val="24"/>
        </w:rPr>
      </w:pPr>
      <w:r w:rsidRPr="000F68FC">
        <w:rPr>
          <w:rFonts w:ascii="Arial" w:hAnsi="Arial" w:cs="Arial"/>
          <w:sz w:val="24"/>
          <w:szCs w:val="24"/>
        </w:rPr>
        <w:t>Oszczędzanie wody: W ekologicznej hodowli zwierząt konieczne jest oszczędzanie wody poprzez optymalne wykorzystywanie zasobów wodnych, takich jak sadzenie roślin i hodowla zwierząt w odpowiedniej kolejności.</w:t>
      </w:r>
    </w:p>
    <w:p w14:paraId="5D24C0D2" w14:textId="77777777" w:rsidR="00BB53DC" w:rsidRPr="000F68FC" w:rsidRDefault="00BB53DC" w:rsidP="000F68FC">
      <w:pPr>
        <w:spacing w:line="360" w:lineRule="auto"/>
        <w:rPr>
          <w:rFonts w:ascii="Arial" w:hAnsi="Arial" w:cs="Arial"/>
          <w:sz w:val="24"/>
          <w:szCs w:val="24"/>
        </w:rPr>
      </w:pPr>
      <w:r w:rsidRPr="000F68FC">
        <w:rPr>
          <w:rFonts w:ascii="Arial" w:hAnsi="Arial" w:cs="Arial"/>
          <w:sz w:val="24"/>
          <w:szCs w:val="24"/>
        </w:rPr>
        <w:lastRenderedPageBreak/>
        <w:t>Ochrona gleby: Ekologiczna hodowla zwierząt wymaga zarządzania glebą w sposób, który zapewnia jej odpowiednie nawożenie i ochronę przed erozją. Można to osiągnąć, stosując techniki takie jak rotacja upraw, mulczowanie i kompostowanie.</w:t>
      </w:r>
    </w:p>
    <w:p w14:paraId="66060F21" w14:textId="77777777" w:rsidR="00BB53DC" w:rsidRPr="000F68FC" w:rsidRDefault="00BB53DC" w:rsidP="000F68FC">
      <w:pPr>
        <w:spacing w:line="360" w:lineRule="auto"/>
        <w:rPr>
          <w:rFonts w:ascii="Arial" w:hAnsi="Arial" w:cs="Arial"/>
          <w:sz w:val="24"/>
          <w:szCs w:val="24"/>
        </w:rPr>
      </w:pPr>
      <w:r w:rsidRPr="000F68FC">
        <w:rPr>
          <w:rFonts w:ascii="Arial" w:hAnsi="Arial" w:cs="Arial"/>
          <w:sz w:val="24"/>
          <w:szCs w:val="24"/>
        </w:rPr>
        <w:t>Woda pitna dla zwierząt: Woda pitna dla zwierząt powinna być czysta i świeża. Niezbędne jest regularne monitorowanie jakości wody pitnej i używanie filtrów, aby ją oczyścić.</w:t>
      </w:r>
    </w:p>
    <w:p w14:paraId="117F52D6" w14:textId="77777777" w:rsidR="00BB53DC" w:rsidRPr="000F68FC" w:rsidRDefault="00BB53DC" w:rsidP="000F68FC">
      <w:pPr>
        <w:spacing w:line="360" w:lineRule="auto"/>
        <w:rPr>
          <w:rFonts w:ascii="Arial" w:hAnsi="Arial" w:cs="Arial"/>
          <w:sz w:val="24"/>
          <w:szCs w:val="24"/>
        </w:rPr>
      </w:pPr>
      <w:r w:rsidRPr="000F68FC">
        <w:rPr>
          <w:rFonts w:ascii="Arial" w:hAnsi="Arial" w:cs="Arial"/>
          <w:sz w:val="24"/>
          <w:szCs w:val="24"/>
        </w:rPr>
        <w:t>Ścieki: Ścieki zwierząt powinny być odprowadzane w sposób, który uniemożliwia ich wpływ na środowisko. Można to osiągnąć, stosując metody takie jak separacja i filtracja ścieków oraz ich wykorzystywanie jako nawóz organiczny.</w:t>
      </w:r>
    </w:p>
    <w:p w14:paraId="5C999A28" w14:textId="77777777" w:rsidR="00BB53DC" w:rsidRPr="000F68FC" w:rsidRDefault="00BB53DC" w:rsidP="000F68FC">
      <w:pPr>
        <w:spacing w:line="360" w:lineRule="auto"/>
        <w:rPr>
          <w:rFonts w:ascii="Arial" w:hAnsi="Arial" w:cs="Arial"/>
          <w:sz w:val="24"/>
          <w:szCs w:val="24"/>
        </w:rPr>
      </w:pPr>
      <w:r w:rsidRPr="000F68FC">
        <w:rPr>
          <w:rFonts w:ascii="Arial" w:hAnsi="Arial" w:cs="Arial"/>
          <w:sz w:val="24"/>
          <w:szCs w:val="24"/>
        </w:rPr>
        <w:t>Te i inne działania pozwolą na zarządzanie wodą i glebą w sposób, który jest zgodny z ekologicznymi standardami i zapewnia zrównoważony rozwój hodowli zwierząt.</w:t>
      </w:r>
    </w:p>
    <w:p w14:paraId="0BBBD623" w14:textId="77777777" w:rsidR="00BB53DC" w:rsidRPr="000F68FC" w:rsidRDefault="00BB53DC" w:rsidP="000F68FC">
      <w:pPr>
        <w:spacing w:line="360" w:lineRule="auto"/>
        <w:rPr>
          <w:rFonts w:ascii="Arial" w:hAnsi="Arial" w:cs="Arial"/>
          <w:sz w:val="24"/>
          <w:szCs w:val="24"/>
        </w:rPr>
      </w:pPr>
      <w:r w:rsidRPr="000F68FC">
        <w:rPr>
          <w:rFonts w:ascii="Arial" w:hAnsi="Arial" w:cs="Arial"/>
          <w:sz w:val="24"/>
          <w:szCs w:val="24"/>
        </w:rPr>
        <w:t>Różnorodność biologiczna: Standardy ekologiczne promują zachowanie różnorodności biologicznej poprzez promowanie integracji różnych gatunków w systemach rolniczych. Pomaga to zmniejszyć wpływ hodowli zwierząt na siedliska przyrodnicze i populacje dzikich zwierząt.</w:t>
      </w:r>
    </w:p>
    <w:p w14:paraId="4012BBE1" w14:textId="77777777" w:rsidR="00BB53DC" w:rsidRPr="000F68FC" w:rsidRDefault="00BB53DC" w:rsidP="000F68FC">
      <w:pPr>
        <w:spacing w:line="360" w:lineRule="auto"/>
        <w:rPr>
          <w:rFonts w:ascii="Arial" w:hAnsi="Arial" w:cs="Arial"/>
          <w:sz w:val="24"/>
          <w:szCs w:val="24"/>
        </w:rPr>
      </w:pPr>
      <w:r w:rsidRPr="000F68FC">
        <w:rPr>
          <w:rFonts w:ascii="Arial" w:hAnsi="Arial" w:cs="Arial"/>
          <w:sz w:val="24"/>
          <w:szCs w:val="24"/>
        </w:rPr>
        <w:t>Dobrostan zwierząt: Dobrostan zwierząt hodowlanych jest ważnym aspektem standardów ekologicznych. Standardy te promują zapewnienie zwierzętom gospodarskim odpowiedniej przestrzeni, schronienia, żywienia i opieki weterynaryjnej w celu zapewnienia im dobrego samopoczucia.</w:t>
      </w:r>
    </w:p>
    <w:p w14:paraId="29BE854D" w14:textId="77777777" w:rsidR="00BB53DC" w:rsidRPr="000F68FC" w:rsidRDefault="00BB53DC" w:rsidP="000F68FC">
      <w:pPr>
        <w:spacing w:line="360" w:lineRule="auto"/>
        <w:rPr>
          <w:rFonts w:ascii="Arial" w:hAnsi="Arial" w:cs="Arial"/>
          <w:sz w:val="24"/>
          <w:szCs w:val="24"/>
        </w:rPr>
      </w:pPr>
      <w:r w:rsidRPr="000F68FC">
        <w:rPr>
          <w:rFonts w:ascii="Arial" w:hAnsi="Arial" w:cs="Arial"/>
          <w:sz w:val="24"/>
          <w:szCs w:val="24"/>
        </w:rPr>
        <w:t>Efektywność energetyczna: Hodowla zwierząt wymaga znacznych ilości energii do ogrzewania, oświetlenia i wentylacji. Standardy ekologiczne zachęcają do stosowania odnawialnych źródeł energii i technologii energooszczędnych w celu zmniejszenia wpływu hodowli zwierząt na środowisko.</w:t>
      </w:r>
    </w:p>
    <w:p w14:paraId="0D0C974B" w14:textId="77777777" w:rsidR="00BB53DC" w:rsidRPr="000F68FC" w:rsidRDefault="00BB53DC" w:rsidP="000F68FC">
      <w:pPr>
        <w:spacing w:line="360" w:lineRule="auto"/>
        <w:rPr>
          <w:rFonts w:ascii="Arial" w:hAnsi="Arial" w:cs="Arial"/>
          <w:sz w:val="24"/>
          <w:szCs w:val="24"/>
        </w:rPr>
      </w:pPr>
      <w:r w:rsidRPr="000F68FC">
        <w:rPr>
          <w:rFonts w:ascii="Arial" w:hAnsi="Arial" w:cs="Arial"/>
          <w:sz w:val="24"/>
          <w:szCs w:val="24"/>
        </w:rPr>
        <w:t>Gospodarka odpadami: Hodowla zwierząt generuje duże ilości odpadów, które mogą mieć negatywny wpływ na środowisko, jeśli nie są odpowiednio zarządzane. Standardy ekologiczne zachęcają do stosowania kompostowania i innych praktyk zarządzania odpadami w celu zmniejszenia zanieczyszczenia i zminimalizowania ryzyka przenoszenia chorób.</w:t>
      </w:r>
    </w:p>
    <w:p w14:paraId="3714D431" w14:textId="77777777" w:rsidR="00BB53DC" w:rsidRPr="000F68FC" w:rsidRDefault="00BB53DC" w:rsidP="000F68FC">
      <w:pPr>
        <w:spacing w:line="360" w:lineRule="auto"/>
        <w:rPr>
          <w:rFonts w:ascii="Arial" w:hAnsi="Arial" w:cs="Arial"/>
          <w:sz w:val="24"/>
          <w:szCs w:val="24"/>
        </w:rPr>
      </w:pPr>
      <w:r w:rsidRPr="000F68FC">
        <w:rPr>
          <w:rFonts w:ascii="Arial" w:hAnsi="Arial" w:cs="Arial"/>
          <w:sz w:val="24"/>
          <w:szCs w:val="24"/>
        </w:rPr>
        <w:lastRenderedPageBreak/>
        <w:t>Stosowanie antybiotyków: Nadużywanie antybiotyków w hodowli zwierząt może prowadzić do rozwoju bakterii odpornych na antybiotyki. Standardy ekologiczne promują stosowanie środków zapobiegawczych w celu zminimalizowania potrzeby stosowania antybiotyków i zachęcają do odpowiedzialnego stosowania antybiotyków w razie konieczności.</w:t>
      </w:r>
    </w:p>
    <w:p w14:paraId="351D1B44" w14:textId="77777777" w:rsidR="00BB53DC" w:rsidRPr="000F68FC" w:rsidRDefault="00BB53DC" w:rsidP="000F68FC">
      <w:pPr>
        <w:spacing w:line="360" w:lineRule="auto"/>
        <w:rPr>
          <w:rFonts w:ascii="Arial" w:hAnsi="Arial" w:cs="Arial"/>
          <w:sz w:val="24"/>
          <w:szCs w:val="24"/>
        </w:rPr>
      </w:pPr>
      <w:r w:rsidRPr="000F68FC">
        <w:rPr>
          <w:rFonts w:ascii="Arial" w:hAnsi="Arial" w:cs="Arial"/>
          <w:sz w:val="24"/>
          <w:szCs w:val="24"/>
        </w:rPr>
        <w:t>Normy ekologiczne dla hodowli zwierząt odgrywają kluczową rolę w zapewnieniu zrównoważonego rolnictwa i ochronie środowiska. Normy te dostarczają rolnikom wytycznych do produkcji żywności przy jednoczesnej ochronie środowiska i dobrostanu zwierząt hodowlanych. Poprzez przestrzeganie tych standardów, rolnicy mogą przyczynić się do bardziej zrównoważonego i sprawiedliwego systemu żywnościowego.</w:t>
      </w:r>
    </w:p>
    <w:p w14:paraId="6EDC0402" w14:textId="39E22A9B" w:rsidR="00BC3A65" w:rsidRPr="000F68FC" w:rsidRDefault="00BC3A65" w:rsidP="000F68FC">
      <w:pPr>
        <w:spacing w:line="360" w:lineRule="auto"/>
        <w:rPr>
          <w:rFonts w:ascii="Arial" w:hAnsi="Arial" w:cs="Arial"/>
          <w:sz w:val="24"/>
          <w:szCs w:val="24"/>
        </w:rPr>
      </w:pPr>
    </w:p>
    <w:sectPr w:rsidR="00BC3A65" w:rsidRPr="000F68FC" w:rsidSect="004561EB">
      <w:headerReference w:type="default" r:id="rId9"/>
      <w:pgSz w:w="11906" w:h="16838"/>
      <w:pgMar w:top="2397" w:right="1417" w:bottom="1276" w:left="1417" w:header="519" w:footer="4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6429FA5" w14:textId="77777777" w:rsidR="00CA0035" w:rsidRDefault="00CA0035" w:rsidP="003C513B">
      <w:pPr>
        <w:spacing w:after="0" w:line="240" w:lineRule="auto"/>
      </w:pPr>
      <w:r>
        <w:separator/>
      </w:r>
    </w:p>
  </w:endnote>
  <w:endnote w:type="continuationSeparator" w:id="0">
    <w:p w14:paraId="1985639A" w14:textId="77777777" w:rsidR="00CA0035" w:rsidRDefault="00CA0035" w:rsidP="003C51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altName w:val="Calibri"/>
    <w:panose1 w:val="020B0604020202020204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0B97C83" w14:textId="77777777" w:rsidR="00CA0035" w:rsidRDefault="00CA0035" w:rsidP="003C513B">
      <w:pPr>
        <w:spacing w:after="0" w:line="240" w:lineRule="auto"/>
      </w:pPr>
      <w:r>
        <w:separator/>
      </w:r>
    </w:p>
  </w:footnote>
  <w:footnote w:type="continuationSeparator" w:id="0">
    <w:p w14:paraId="5A46F5F2" w14:textId="77777777" w:rsidR="00CA0035" w:rsidRDefault="00CA0035" w:rsidP="003C51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C351E0" w14:textId="73D14582" w:rsidR="003C513B" w:rsidRDefault="004561EB">
    <w:pPr>
      <w:pStyle w:val="Nagwek"/>
    </w:pPr>
    <w:r w:rsidRPr="00A522DA">
      <w:rPr>
        <w:noProof/>
      </w:rPr>
      <w:drawing>
        <wp:anchor distT="0" distB="0" distL="114300" distR="114300" simplePos="0" relativeHeight="251659264" behindDoc="0" locked="0" layoutInCell="1" allowOverlap="1" wp14:anchorId="79F3F67F" wp14:editId="7F708FAE">
          <wp:simplePos x="0" y="0"/>
          <wp:positionH relativeFrom="column">
            <wp:posOffset>1905</wp:posOffset>
          </wp:positionH>
          <wp:positionV relativeFrom="paragraph">
            <wp:posOffset>313055</wp:posOffset>
          </wp:positionV>
          <wp:extent cx="1790700" cy="31750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0700" cy="317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C513B" w:rsidRPr="003C513B">
      <w:rPr>
        <w:noProof/>
      </w:rPr>
      <w:drawing>
        <wp:anchor distT="0" distB="0" distL="114300" distR="114300" simplePos="0" relativeHeight="251658240" behindDoc="1" locked="0" layoutInCell="1" allowOverlap="1" wp14:anchorId="5B7718C8" wp14:editId="13A620B5">
          <wp:simplePos x="0" y="0"/>
          <wp:positionH relativeFrom="column">
            <wp:posOffset>3986759</wp:posOffset>
          </wp:positionH>
          <wp:positionV relativeFrom="paragraph">
            <wp:posOffset>142950</wp:posOffset>
          </wp:positionV>
          <wp:extent cx="1552779" cy="665477"/>
          <wp:effectExtent l="0" t="0" r="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0621" cy="6774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9E2249"/>
    <w:multiLevelType w:val="multilevel"/>
    <w:tmpl w:val="E63AEC3C"/>
    <w:lvl w:ilvl="0">
      <w:start w:val="1"/>
      <w:numFmt w:val="bullet"/>
      <w:lvlText w:val="⮚"/>
      <w:lvlJc w:val="left"/>
      <w:pPr>
        <w:ind w:left="709" w:hanging="359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4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0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69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194C32F8"/>
    <w:multiLevelType w:val="multilevel"/>
    <w:tmpl w:val="1BBAF818"/>
    <w:lvl w:ilvl="0">
      <w:start w:val="1"/>
      <w:numFmt w:val="bullet"/>
      <w:lvlText w:val="⮚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2A3E3F05"/>
    <w:multiLevelType w:val="multilevel"/>
    <w:tmpl w:val="DCC02B7A"/>
    <w:lvl w:ilvl="0">
      <w:start w:val="1"/>
      <w:numFmt w:val="bullet"/>
      <w:lvlText w:val="⮚"/>
      <w:lvlJc w:val="left"/>
      <w:pPr>
        <w:ind w:left="709" w:hanging="359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4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0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69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35F12FA0"/>
    <w:multiLevelType w:val="multilevel"/>
    <w:tmpl w:val="AE92982C"/>
    <w:lvl w:ilvl="0">
      <w:start w:val="1"/>
      <w:numFmt w:val="bullet"/>
      <w:lvlText w:val="⮚"/>
      <w:lvlJc w:val="left"/>
      <w:pPr>
        <w:ind w:left="1417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37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57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77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297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17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37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57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77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42C54C50"/>
    <w:multiLevelType w:val="hybridMultilevel"/>
    <w:tmpl w:val="D48CB68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9F6219B"/>
    <w:multiLevelType w:val="multilevel"/>
    <w:tmpl w:val="FC2E089A"/>
    <w:lvl w:ilvl="0">
      <w:start w:val="1"/>
      <w:numFmt w:val="bullet"/>
      <w:lvlText w:val="⮚"/>
      <w:lvlJc w:val="left"/>
      <w:pPr>
        <w:ind w:left="709" w:hanging="359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4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0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69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673369D2"/>
    <w:multiLevelType w:val="hybridMultilevel"/>
    <w:tmpl w:val="F0220534"/>
    <w:lvl w:ilvl="0" w:tplc="073CC48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1620694">
      <w:start w:val="1"/>
      <w:numFmt w:val="lowerLetter"/>
      <w:lvlText w:val="%2."/>
      <w:lvlJc w:val="left"/>
      <w:pPr>
        <w:ind w:left="1440" w:hanging="360"/>
      </w:pPr>
    </w:lvl>
    <w:lvl w:ilvl="2" w:tplc="A6023A3C">
      <w:start w:val="1"/>
      <w:numFmt w:val="lowerRoman"/>
      <w:lvlText w:val="%3."/>
      <w:lvlJc w:val="right"/>
      <w:pPr>
        <w:ind w:left="2160" w:hanging="180"/>
      </w:pPr>
    </w:lvl>
    <w:lvl w:ilvl="3" w:tplc="7F7E6366">
      <w:start w:val="1"/>
      <w:numFmt w:val="decimal"/>
      <w:lvlText w:val="%4."/>
      <w:lvlJc w:val="left"/>
      <w:pPr>
        <w:ind w:left="2880" w:hanging="360"/>
      </w:pPr>
    </w:lvl>
    <w:lvl w:ilvl="4" w:tplc="CF6E3128">
      <w:start w:val="1"/>
      <w:numFmt w:val="lowerLetter"/>
      <w:lvlText w:val="%5."/>
      <w:lvlJc w:val="left"/>
      <w:pPr>
        <w:ind w:left="3600" w:hanging="360"/>
      </w:pPr>
    </w:lvl>
    <w:lvl w:ilvl="5" w:tplc="112C437E">
      <w:start w:val="1"/>
      <w:numFmt w:val="lowerRoman"/>
      <w:lvlText w:val="%6."/>
      <w:lvlJc w:val="right"/>
      <w:pPr>
        <w:ind w:left="4320" w:hanging="180"/>
      </w:pPr>
    </w:lvl>
    <w:lvl w:ilvl="6" w:tplc="BA00169A">
      <w:start w:val="1"/>
      <w:numFmt w:val="decimal"/>
      <w:lvlText w:val="%7."/>
      <w:lvlJc w:val="left"/>
      <w:pPr>
        <w:ind w:left="5040" w:hanging="360"/>
      </w:pPr>
    </w:lvl>
    <w:lvl w:ilvl="7" w:tplc="68BA0054">
      <w:start w:val="1"/>
      <w:numFmt w:val="lowerLetter"/>
      <w:lvlText w:val="%8."/>
      <w:lvlJc w:val="left"/>
      <w:pPr>
        <w:ind w:left="5760" w:hanging="360"/>
      </w:pPr>
    </w:lvl>
    <w:lvl w:ilvl="8" w:tplc="F2926A26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29F7CA6"/>
    <w:multiLevelType w:val="multilevel"/>
    <w:tmpl w:val="63E8413C"/>
    <w:lvl w:ilvl="0">
      <w:start w:val="1"/>
      <w:numFmt w:val="bullet"/>
      <w:lvlText w:val="⮚"/>
      <w:lvlJc w:val="left"/>
      <w:pPr>
        <w:ind w:left="709" w:hanging="359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732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452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172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2892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612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332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052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5772" w:hanging="360"/>
      </w:pPr>
      <w:rPr>
        <w:rFonts w:ascii="Noto Sans Symbols" w:eastAsia="Noto Sans Symbols" w:hAnsi="Noto Sans Symbols" w:cs="Noto Sans Symbols"/>
      </w:rPr>
    </w:lvl>
  </w:abstractNum>
  <w:num w:numId="1" w16cid:durableId="1016225315">
    <w:abstractNumId w:val="6"/>
  </w:num>
  <w:num w:numId="2" w16cid:durableId="226110290">
    <w:abstractNumId w:val="7"/>
  </w:num>
  <w:num w:numId="3" w16cid:durableId="569464612">
    <w:abstractNumId w:val="0"/>
  </w:num>
  <w:num w:numId="4" w16cid:durableId="1233154133">
    <w:abstractNumId w:val="5"/>
  </w:num>
  <w:num w:numId="5" w16cid:durableId="890844404">
    <w:abstractNumId w:val="2"/>
  </w:num>
  <w:num w:numId="6" w16cid:durableId="837816043">
    <w:abstractNumId w:val="1"/>
  </w:num>
  <w:num w:numId="7" w16cid:durableId="1939633897">
    <w:abstractNumId w:val="3"/>
  </w:num>
  <w:num w:numId="8" w16cid:durableId="1038818817">
    <w:abstractNumId w:val="4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5A6D"/>
    <w:rsid w:val="00014CDC"/>
    <w:rsid w:val="00016ECE"/>
    <w:rsid w:val="00026DB7"/>
    <w:rsid w:val="000278C2"/>
    <w:rsid w:val="00043121"/>
    <w:rsid w:val="00047D06"/>
    <w:rsid w:val="00057197"/>
    <w:rsid w:val="000604B3"/>
    <w:rsid w:val="000745B0"/>
    <w:rsid w:val="000813C3"/>
    <w:rsid w:val="000817FF"/>
    <w:rsid w:val="00085DA6"/>
    <w:rsid w:val="00090324"/>
    <w:rsid w:val="000A28A2"/>
    <w:rsid w:val="000A7934"/>
    <w:rsid w:val="000D4E35"/>
    <w:rsid w:val="000E2620"/>
    <w:rsid w:val="000F4038"/>
    <w:rsid w:val="000F4DCC"/>
    <w:rsid w:val="000F68FC"/>
    <w:rsid w:val="00101313"/>
    <w:rsid w:val="00110C56"/>
    <w:rsid w:val="001226DC"/>
    <w:rsid w:val="00133C75"/>
    <w:rsid w:val="00135864"/>
    <w:rsid w:val="001C7283"/>
    <w:rsid w:val="001E0C41"/>
    <w:rsid w:val="001F0B7F"/>
    <w:rsid w:val="00203CBA"/>
    <w:rsid w:val="002B40B0"/>
    <w:rsid w:val="002C23AC"/>
    <w:rsid w:val="002C2DDA"/>
    <w:rsid w:val="002C7986"/>
    <w:rsid w:val="002D2AA0"/>
    <w:rsid w:val="002E219B"/>
    <w:rsid w:val="002E7A96"/>
    <w:rsid w:val="002F033A"/>
    <w:rsid w:val="00335A75"/>
    <w:rsid w:val="003541D2"/>
    <w:rsid w:val="0037743C"/>
    <w:rsid w:val="00380DC2"/>
    <w:rsid w:val="00395D4F"/>
    <w:rsid w:val="003C513B"/>
    <w:rsid w:val="003D77C6"/>
    <w:rsid w:val="004071BA"/>
    <w:rsid w:val="0041227E"/>
    <w:rsid w:val="00413A98"/>
    <w:rsid w:val="00430160"/>
    <w:rsid w:val="004561EB"/>
    <w:rsid w:val="0048015B"/>
    <w:rsid w:val="00490135"/>
    <w:rsid w:val="004D282F"/>
    <w:rsid w:val="004D77C6"/>
    <w:rsid w:val="0052608F"/>
    <w:rsid w:val="00537297"/>
    <w:rsid w:val="00574127"/>
    <w:rsid w:val="005A23A7"/>
    <w:rsid w:val="005D1F59"/>
    <w:rsid w:val="00634219"/>
    <w:rsid w:val="006435E2"/>
    <w:rsid w:val="0065370D"/>
    <w:rsid w:val="0066032C"/>
    <w:rsid w:val="00682EA8"/>
    <w:rsid w:val="006943E5"/>
    <w:rsid w:val="006C5384"/>
    <w:rsid w:val="006E5DD2"/>
    <w:rsid w:val="00701A65"/>
    <w:rsid w:val="00704BF7"/>
    <w:rsid w:val="0072221C"/>
    <w:rsid w:val="00734BF9"/>
    <w:rsid w:val="00742AF8"/>
    <w:rsid w:val="00755515"/>
    <w:rsid w:val="007919CB"/>
    <w:rsid w:val="007B3034"/>
    <w:rsid w:val="007C6FC4"/>
    <w:rsid w:val="007E1CAB"/>
    <w:rsid w:val="0086458A"/>
    <w:rsid w:val="008B6821"/>
    <w:rsid w:val="008C4798"/>
    <w:rsid w:val="008D7595"/>
    <w:rsid w:val="008E4DF2"/>
    <w:rsid w:val="008F448A"/>
    <w:rsid w:val="009647AF"/>
    <w:rsid w:val="00966ECE"/>
    <w:rsid w:val="00975F04"/>
    <w:rsid w:val="009933E6"/>
    <w:rsid w:val="009937FD"/>
    <w:rsid w:val="009953D6"/>
    <w:rsid w:val="009B3BD4"/>
    <w:rsid w:val="00A03340"/>
    <w:rsid w:val="00A522DA"/>
    <w:rsid w:val="00A660B8"/>
    <w:rsid w:val="00A73202"/>
    <w:rsid w:val="00A76F41"/>
    <w:rsid w:val="00AD6FD9"/>
    <w:rsid w:val="00B26202"/>
    <w:rsid w:val="00B26438"/>
    <w:rsid w:val="00B45507"/>
    <w:rsid w:val="00B73705"/>
    <w:rsid w:val="00BB53DC"/>
    <w:rsid w:val="00BC3A65"/>
    <w:rsid w:val="00BF196C"/>
    <w:rsid w:val="00C05B1A"/>
    <w:rsid w:val="00C10415"/>
    <w:rsid w:val="00C5543A"/>
    <w:rsid w:val="00CA0035"/>
    <w:rsid w:val="00CB61A7"/>
    <w:rsid w:val="00CB6FFA"/>
    <w:rsid w:val="00D352DB"/>
    <w:rsid w:val="00D6339D"/>
    <w:rsid w:val="00D656AC"/>
    <w:rsid w:val="00D77A9C"/>
    <w:rsid w:val="00D939FB"/>
    <w:rsid w:val="00DC6D38"/>
    <w:rsid w:val="00DD3E68"/>
    <w:rsid w:val="00DD3FE2"/>
    <w:rsid w:val="00DE2F4D"/>
    <w:rsid w:val="00E01A8E"/>
    <w:rsid w:val="00E01B07"/>
    <w:rsid w:val="00E027B1"/>
    <w:rsid w:val="00E0640C"/>
    <w:rsid w:val="00E147BD"/>
    <w:rsid w:val="00E163D8"/>
    <w:rsid w:val="00E32CCF"/>
    <w:rsid w:val="00E65050"/>
    <w:rsid w:val="00E85CE8"/>
    <w:rsid w:val="00EA6BFB"/>
    <w:rsid w:val="00EA7FC7"/>
    <w:rsid w:val="00EB054A"/>
    <w:rsid w:val="00EC4B73"/>
    <w:rsid w:val="00EF4C88"/>
    <w:rsid w:val="00EF5A6D"/>
    <w:rsid w:val="00F10DBC"/>
    <w:rsid w:val="00F248D1"/>
    <w:rsid w:val="00F4105E"/>
    <w:rsid w:val="00F56FE7"/>
    <w:rsid w:val="00F73300"/>
    <w:rsid w:val="00F8280A"/>
    <w:rsid w:val="00F849C8"/>
    <w:rsid w:val="00FA277C"/>
    <w:rsid w:val="00FE1E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819650"/>
  <w15:chartTrackingRefBased/>
  <w15:docId w15:val="{692B5FB5-3275-4AA6-BF14-A3D3A30D52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4071B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755515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1226DC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4071BA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styleId="Hipercze">
    <w:name w:val="Hyperlink"/>
    <w:basedOn w:val="Domylnaczcionkaakapitu"/>
    <w:uiPriority w:val="99"/>
    <w:unhideWhenUsed/>
    <w:rsid w:val="004071BA"/>
    <w:rPr>
      <w:color w:val="0000FF"/>
      <w:u w:val="single"/>
    </w:rPr>
  </w:style>
  <w:style w:type="paragraph" w:styleId="Akapitzlist">
    <w:name w:val="List Paragraph"/>
    <w:aliases w:val="Fiche List Paragraph,Dot pt,F5 List Paragraph,List Paragraph1,No Spacing1,List Paragraph Char Char Char,Indicator Text,Numbered Para 1,Bullet Points,MAIN CONTENT,List Paragraph12,Bullet 1,OBC Bullet,Colorful List - Accent 11,FooterText"/>
    <w:basedOn w:val="Normalny"/>
    <w:link w:val="AkapitzlistZnak"/>
    <w:uiPriority w:val="34"/>
    <w:qFormat/>
    <w:rsid w:val="00E163D8"/>
    <w:pPr>
      <w:ind w:left="720"/>
      <w:contextualSpacing/>
    </w:pPr>
  </w:style>
  <w:style w:type="paragraph" w:customStyle="1" w:styleId="mb-3">
    <w:name w:val="mb-3"/>
    <w:basedOn w:val="Normalny"/>
    <w:rsid w:val="00FA27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pdauthorlist">
    <w:name w:val="pdauthorlist"/>
    <w:basedOn w:val="Domylnaczcionkaakapitu"/>
    <w:rsid w:val="00FA277C"/>
  </w:style>
  <w:style w:type="paragraph" w:styleId="Bezodstpw">
    <w:name w:val="No Spacing"/>
    <w:uiPriority w:val="1"/>
    <w:qFormat/>
    <w:rsid w:val="009647AF"/>
    <w:pPr>
      <w:spacing w:after="0" w:line="240" w:lineRule="auto"/>
    </w:pPr>
  </w:style>
  <w:style w:type="paragraph" w:customStyle="1" w:styleId="Default">
    <w:name w:val="Default"/>
    <w:rsid w:val="009647AF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C513B"/>
  </w:style>
  <w:style w:type="paragraph" w:styleId="Stopka">
    <w:name w:val="footer"/>
    <w:basedOn w:val="Normalny"/>
    <w:link w:val="Stopka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C513B"/>
  </w:style>
  <w:style w:type="paragraph" w:styleId="NormalnyWeb">
    <w:name w:val="Normal (Web)"/>
    <w:basedOn w:val="Normalny"/>
    <w:uiPriority w:val="99"/>
    <w:unhideWhenUsed/>
    <w:rsid w:val="00E147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147B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147B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147BD"/>
    <w:rPr>
      <w:vertAlign w:val="superscript"/>
    </w:rPr>
  </w:style>
  <w:style w:type="paragraph" w:customStyle="1" w:styleId="Pa7">
    <w:name w:val="Pa7"/>
    <w:basedOn w:val="Normalny"/>
    <w:next w:val="Normalny"/>
    <w:uiPriority w:val="99"/>
    <w:rsid w:val="00C05B1A"/>
    <w:pPr>
      <w:autoSpaceDE w:val="0"/>
      <w:autoSpaceDN w:val="0"/>
      <w:adjustRightInd w:val="0"/>
      <w:spacing w:after="0" w:line="241" w:lineRule="atLeast"/>
    </w:pPr>
    <w:rPr>
      <w:rFonts w:ascii="Calibri" w:hAnsi="Calibri" w:cs="Calibri"/>
      <w:sz w:val="24"/>
      <w:szCs w:val="24"/>
    </w:rPr>
  </w:style>
  <w:style w:type="character" w:customStyle="1" w:styleId="A3">
    <w:name w:val="A3"/>
    <w:uiPriority w:val="99"/>
    <w:rsid w:val="00C05B1A"/>
    <w:rPr>
      <w:i/>
      <w:iCs/>
      <w:color w:val="000000"/>
      <w:sz w:val="22"/>
      <w:szCs w:val="22"/>
    </w:rPr>
  </w:style>
  <w:style w:type="paragraph" w:customStyle="1" w:styleId="Pa9">
    <w:name w:val="Pa9"/>
    <w:basedOn w:val="Normalny"/>
    <w:next w:val="Normalny"/>
    <w:uiPriority w:val="99"/>
    <w:rsid w:val="005D1F59"/>
    <w:pPr>
      <w:autoSpaceDE w:val="0"/>
      <w:autoSpaceDN w:val="0"/>
      <w:adjustRightInd w:val="0"/>
      <w:spacing w:after="0" w:line="241" w:lineRule="atLeast"/>
    </w:pPr>
    <w:rPr>
      <w:rFonts w:ascii="Palatino Linotype" w:hAnsi="Palatino Linotype"/>
      <w:sz w:val="24"/>
      <w:szCs w:val="24"/>
    </w:rPr>
  </w:style>
  <w:style w:type="character" w:customStyle="1" w:styleId="longtext">
    <w:name w:val="long_text"/>
    <w:basedOn w:val="Domylnaczcionkaakapitu"/>
    <w:rsid w:val="00E0640C"/>
  </w:style>
  <w:style w:type="character" w:customStyle="1" w:styleId="hps">
    <w:name w:val="hps"/>
    <w:basedOn w:val="Domylnaczcionkaakapitu"/>
    <w:rsid w:val="00E0640C"/>
  </w:style>
  <w:style w:type="character" w:customStyle="1" w:styleId="Nagwek2Znak">
    <w:name w:val="Nagłówek 2 Znak"/>
    <w:basedOn w:val="Domylnaczcionkaakapitu"/>
    <w:link w:val="Nagwek2"/>
    <w:uiPriority w:val="9"/>
    <w:rsid w:val="00755515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AkapitzlistZnak">
    <w:name w:val="Akapit z listą Znak"/>
    <w:aliases w:val="Fiche List Paragraph Znak,Dot pt Znak,F5 List Paragraph Znak,List Paragraph1 Znak,No Spacing1 Znak,List Paragraph Char Char Char Znak,Indicator Text Znak,Numbered Para 1 Znak,Bullet Points Znak,MAIN CONTENT Znak,List Paragraph12 Znak"/>
    <w:basedOn w:val="Domylnaczcionkaakapitu"/>
    <w:link w:val="Akapitzlist"/>
    <w:uiPriority w:val="34"/>
    <w:qFormat/>
    <w:locked/>
    <w:rsid w:val="00734BF9"/>
  </w:style>
  <w:style w:type="character" w:customStyle="1" w:styleId="Nagwek3Znak">
    <w:name w:val="Nagłówek 3 Znak"/>
    <w:basedOn w:val="Domylnaczcionkaakapitu"/>
    <w:link w:val="Nagwek3"/>
    <w:uiPriority w:val="9"/>
    <w:rsid w:val="001226DC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585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27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705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1668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520126">
          <w:marLeft w:val="0"/>
          <w:marRight w:val="0"/>
          <w:marTop w:val="0"/>
          <w:marBottom w:val="3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81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5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73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2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17D99CA1058794A92DCB8D7B987F5F0" ma:contentTypeVersion="16" ma:contentTypeDescription="Utwórz nowy dokument." ma:contentTypeScope="" ma:versionID="ab56cb5faae9c3feb409c4578238dc33">
  <xsd:schema xmlns:xsd="http://www.w3.org/2001/XMLSchema" xmlns:xs="http://www.w3.org/2001/XMLSchema" xmlns:p="http://schemas.microsoft.com/office/2006/metadata/properties" xmlns:ns2="4e81d82d-ae07-4398-8985-e3b237c18d4f" xmlns:ns3="0debd9ba-df37-4ccf-b0b1-ab08a91e6a6a" targetNamespace="http://schemas.microsoft.com/office/2006/metadata/properties" ma:root="true" ma:fieldsID="f13b7340eec1bff03f5f68284f655c13" ns2:_="" ns3:_="">
    <xsd:import namespace="4e81d82d-ae07-4398-8985-e3b237c18d4f"/>
    <xsd:import namespace="0debd9ba-df37-4ccf-b0b1-ab08a91e6a6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81d82d-ae07-4398-8985-e3b237c18d4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Tagi obrazów" ma:readOnly="false" ma:fieldId="{5cf76f15-5ced-4ddc-b409-7134ff3c332f}" ma:taxonomyMulti="true" ma:sspId="9c3e9df2-cf36-4229-9548-94ab28f7a3d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ebd9ba-df37-4ccf-b0b1-ab08a91e6a6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d8860956-6a52-4bb4-86d4-0aea7bcfabf1}" ma:internalName="TaxCatchAll" ma:showField="CatchAllData" ma:web="0debd9ba-df37-4ccf-b0b1-ab08a91e6a6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77E6602B-1EFF-4E98-A113-C27E48BEB6E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e81d82d-ae07-4398-8985-e3b237c18d4f"/>
    <ds:schemaRef ds:uri="0debd9ba-df37-4ccf-b0b1-ab08a91e6a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F316CAF4-28B2-4F7B-8666-E261EF2DD950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666</Words>
  <Characters>3997</Characters>
  <Application>Microsoft Office Word</Application>
  <DocSecurity>0</DocSecurity>
  <Lines>33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Piotr Koj</dc:creator>
  <cp:keywords/>
  <dc:description/>
  <cp:lastModifiedBy>Dawid Trześniewski</cp:lastModifiedBy>
  <cp:revision>4</cp:revision>
  <dcterms:created xsi:type="dcterms:W3CDTF">2023-03-01T22:27:00Z</dcterms:created>
  <dcterms:modified xsi:type="dcterms:W3CDTF">2023-03-01T22:36:00Z</dcterms:modified>
</cp:coreProperties>
</file>