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30D106" w14:textId="77777777" w:rsidR="008D7595" w:rsidRPr="00032038" w:rsidRDefault="008D7595" w:rsidP="00032038">
      <w:pPr>
        <w:shd w:val="clear" w:color="auto" w:fill="FFFFFF"/>
        <w:spacing w:after="120" w:line="360" w:lineRule="auto"/>
        <w:textAlignment w:val="baseline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032038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dr hab. Arkadiusz Michał Kowalski, prof. SGH </w:t>
      </w:r>
      <w:r w:rsidRPr="00032038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032038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032038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032038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032038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032038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2022-08-12</w:t>
      </w:r>
    </w:p>
    <w:p w14:paraId="2CCF9066" w14:textId="77777777" w:rsidR="008D7595" w:rsidRPr="00032038" w:rsidRDefault="008D7595" w:rsidP="00032038">
      <w:pPr>
        <w:spacing w:after="12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032038">
        <w:rPr>
          <w:rFonts w:ascii="Arial" w:hAnsi="Arial" w:cs="Arial"/>
          <w:b/>
          <w:bCs/>
          <w:sz w:val="24"/>
          <w:szCs w:val="24"/>
        </w:rPr>
        <w:t xml:space="preserve">Zrównoważona konkurencyjność w aspekcie środowiska przyrodniczego jako wyznacznik zielonej gospodarki przyszłości </w:t>
      </w:r>
    </w:p>
    <w:p w14:paraId="31E35BE4" w14:textId="77777777" w:rsidR="008D7595" w:rsidRPr="00032038" w:rsidRDefault="008D7595" w:rsidP="00032038">
      <w:pPr>
        <w:spacing w:after="12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>Wzrost gospodarczy może mieć niekiedy negatywne konsekwencje, takie jak np. nadmierna eksploatacja i wyczerpywanie zasobów, zanieczyszczenie powietrza i wód prowadzące do zmian klimatu. Wyznacznikiem prawidłowego funkcjonowania zielonej gospodarki przyszłości jest zrównoważona konkurencyjność</w:t>
      </w:r>
      <w:r w:rsidRPr="00032038">
        <w:rPr>
          <w:rFonts w:ascii="Arial" w:hAnsi="Arial" w:cs="Arial"/>
        </w:rPr>
        <w:t xml:space="preserve"> </w:t>
      </w:r>
      <w:r w:rsidRPr="00032038">
        <w:rPr>
          <w:rFonts w:ascii="Arial" w:hAnsi="Arial" w:cs="Arial"/>
          <w:sz w:val="24"/>
          <w:szCs w:val="24"/>
        </w:rPr>
        <w:t xml:space="preserve">w aspekcie środowiska przyrodniczego, którą można zdefiniować jako zbiór instytucji, polityk oraz innych czynników, które zwiększają produktywność krajowych zasobów w długim okresie, przy jednoczesnym zapewnieniu zrównoważonego rozwoju społecznego i środowiskowego. Zrównoważenie środowiskowe wiąże się również z funkcjonowaniem instytucji i polityki, które pozwalają na zagwarantowanie efektywnego gospodarowania zasobami naturalnymi w celu zapewnienia dobrobytu obecnie i w przyszłości. </w:t>
      </w:r>
    </w:p>
    <w:p w14:paraId="7A491490" w14:textId="77777777" w:rsidR="008D7595" w:rsidRPr="00032038" w:rsidRDefault="008D7595" w:rsidP="00032038">
      <w:pPr>
        <w:spacing w:after="12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 xml:space="preserve">Koncepcja zrównoważonej konkurencyjności wiąże się ściśle z celami zrównoważonego rozwoju przyjętymi w 2015 r. przez ONZ w Agendzie 2030. Siedemnaście celów zrównoważonego rozwoju i ich uszczegółowienie w postaci 169 priorytetów, które są ze sobą ściśle zintegrowane odzwierciedlają trzy wymiary zrównoważonego rozwoju: ekonomiczny, społeczny i środowiskowy. W wymiarze środowiskowym służą one poprawie stanu środowiska naturalnego, w tym m.in. zapewnieniu dostępu do wody pitnej, zmniejszeniu zanieczyszczenia środowiska, itd. </w:t>
      </w:r>
    </w:p>
    <w:p w14:paraId="60A6D73D" w14:textId="77777777" w:rsidR="008D7595" w:rsidRPr="00032038" w:rsidRDefault="008D7595" w:rsidP="00032038">
      <w:pPr>
        <w:spacing w:after="12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 xml:space="preserve">W tradycyjnym podejściu w ekonomii powiązania między celami środowiskowymi a konkurencyjnością gospodarczą były traktowane jako częściowo przeciwstawne, a dążenie do celów zrównoważonego rozwoju sprowadzało się przede wszystkim do kompromisu między korzyściami społecznymi wynikającymi z poprawy stanu środowiska a kosztami ponoszonymi przez sektor prywatny lub państwo. Według nowoczesnego ujęcia, osiągnie konkurencyjności międzynarodowej i zrównoważonego rozwoju nie odbywa się w niezależny od siebie sposób, ponieważ ochrona środowiska naturalnego i rozwój gospodarczy stanowią jeden wspólny element i nie są rozbieżne. Przeciwnie, negatywne środowiskowo skutki działalności </w:t>
      </w:r>
      <w:r w:rsidRPr="00032038">
        <w:rPr>
          <w:rFonts w:ascii="Arial" w:hAnsi="Arial" w:cs="Arial"/>
          <w:sz w:val="24"/>
          <w:szCs w:val="24"/>
        </w:rPr>
        <w:lastRenderedPageBreak/>
        <w:t>gospodarczej mogą hamować przyszłe procesy rozwojowe. Zgodnie z danymi empirycznymi, państwa charakteryzujące się wyższym poziomem ochrony środowiska przyrodniczego, np. o wyższym stopniu dekarbonizacji systemów energetycznych lub większym udziale patentów związanych z „zielonymi” technologiami takie jak Dania, Japonia, Korea Południowa, Niemcy, Singapur czy USA, to jednocześnie gospodarki osiągające najwyższe wyniki w rankingach konkurencyjności międzynarodowej.</w:t>
      </w:r>
    </w:p>
    <w:p w14:paraId="7B9C33F8" w14:textId="77777777" w:rsidR="008D7595" w:rsidRPr="00032038" w:rsidRDefault="008D7595" w:rsidP="00032038">
      <w:pPr>
        <w:spacing w:after="12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>Narastające problemy środowiskowe wywołują oczekiwania co do zapewnienia takiego gospodarowania zasobami, które zaspokoi bieżące potrzeby bez ograniczenia dostępu do zasobów dla kolejnych pokoleń. W odpowiedzi na to wyzwanie pojawiła się koncepcja gospodarki o obiegu zamkniętym (</w:t>
      </w:r>
      <w:proofErr w:type="spellStart"/>
      <w:r w:rsidRPr="00032038">
        <w:rPr>
          <w:rFonts w:ascii="Arial" w:hAnsi="Arial" w:cs="Arial"/>
          <w:i/>
          <w:iCs/>
          <w:sz w:val="24"/>
          <w:szCs w:val="24"/>
        </w:rPr>
        <w:t>circular</w:t>
      </w:r>
      <w:proofErr w:type="spellEnd"/>
      <w:r w:rsidRPr="00032038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Pr="00032038">
        <w:rPr>
          <w:rFonts w:ascii="Arial" w:hAnsi="Arial" w:cs="Arial"/>
          <w:i/>
          <w:iCs/>
          <w:sz w:val="24"/>
          <w:szCs w:val="24"/>
        </w:rPr>
        <w:t>economy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), która oznacza model produkcji i konsumpcji pozwalający na oszczędne wykorzystanie surowców i energii dzięki odzyskiwaniu surowców wtórnych ze zużytych produktów i ponownemu ich użyciu. Istotnym elementem tej koncepcji jest recykling, który pozwala na wydłużenie cyklu życia produktów i zmniejszenie zapotrzebowania na surowce. W świetle tej definicji gospodarka o obiegu zamkniętym jest jednym z wyznaczników zielonej gospodarki przyszłości. </w:t>
      </w:r>
    </w:p>
    <w:p w14:paraId="3282B81E" w14:textId="77777777" w:rsidR="008D7595" w:rsidRPr="00032038" w:rsidRDefault="008D7595" w:rsidP="00032038">
      <w:pPr>
        <w:spacing w:after="12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 xml:space="preserve">Innym sposobem osiągania zrównoważonej konkurencyjności środowiskowej są innowacje w obszarze ochrony </w:t>
      </w:r>
      <w:proofErr w:type="gramStart"/>
      <w:r w:rsidRPr="00032038">
        <w:rPr>
          <w:rFonts w:ascii="Arial" w:hAnsi="Arial" w:cs="Arial"/>
          <w:sz w:val="24"/>
          <w:szCs w:val="24"/>
        </w:rPr>
        <w:t>środowiska</w:t>
      </w:r>
      <w:proofErr w:type="gramEnd"/>
      <w:r w:rsidRPr="00032038">
        <w:rPr>
          <w:rFonts w:ascii="Arial" w:hAnsi="Arial" w:cs="Arial"/>
          <w:sz w:val="24"/>
          <w:szCs w:val="24"/>
        </w:rPr>
        <w:t xml:space="preserve"> czyli tzw. </w:t>
      </w:r>
      <w:proofErr w:type="spellStart"/>
      <w:r w:rsidRPr="00032038">
        <w:rPr>
          <w:rFonts w:ascii="Arial" w:hAnsi="Arial" w:cs="Arial"/>
          <w:sz w:val="24"/>
          <w:szCs w:val="24"/>
        </w:rPr>
        <w:t>ekoinnowacje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, które polegają na wprowadzaniu na rynek nowych produktów, usług i technologii, a także wdrażaniu procesów, które przyczyniają się do lepszego zaspokojenia potrzeb człowieka, a jednocześnie racjonalnie wykorzystują zasoby naturalne i poprawiają zdolność do ich odtwarzania. Innowacje ekologiczne mogą być rozpatrywane w szerokim kontekście i obejmować następujące rodzaje innowacji: </w:t>
      </w:r>
    </w:p>
    <w:p w14:paraId="5BDE16A9" w14:textId="77777777" w:rsidR="008D7595" w:rsidRPr="00032038" w:rsidRDefault="008D7595" w:rsidP="00032038">
      <w:pPr>
        <w:pStyle w:val="Akapitzlist"/>
        <w:keepNext/>
        <w:numPr>
          <w:ilvl w:val="0"/>
          <w:numId w:val="31"/>
        </w:numPr>
        <w:spacing w:after="120" w:line="360" w:lineRule="auto"/>
        <w:contextualSpacing w:val="0"/>
        <w:jc w:val="both"/>
        <w:outlineLvl w:val="3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lastRenderedPageBreak/>
        <w:t>innowacje technologiczne (</w:t>
      </w:r>
      <w:proofErr w:type="spellStart"/>
      <w:r w:rsidRPr="00032038">
        <w:rPr>
          <w:rFonts w:ascii="Arial" w:hAnsi="Arial" w:cs="Arial"/>
          <w:sz w:val="24"/>
          <w:szCs w:val="24"/>
        </w:rPr>
        <w:t>technological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032038">
        <w:rPr>
          <w:rFonts w:ascii="Arial" w:hAnsi="Arial" w:cs="Arial"/>
          <w:sz w:val="24"/>
          <w:szCs w:val="24"/>
        </w:rPr>
        <w:t>innovation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), np. technologie pozyskiwania energii słonecznej lub wiatrowej pozwalają na oszczędność paliw kopalnych i redukcję zanieczyszczeń związanych z ich eksploatacją, </w:t>
      </w:r>
    </w:p>
    <w:p w14:paraId="72184156" w14:textId="77777777" w:rsidR="008D7595" w:rsidRPr="00032038" w:rsidRDefault="008D7595" w:rsidP="00032038">
      <w:pPr>
        <w:pStyle w:val="Akapitzlist"/>
        <w:keepNext/>
        <w:numPr>
          <w:ilvl w:val="0"/>
          <w:numId w:val="31"/>
        </w:numPr>
        <w:spacing w:after="120" w:line="360" w:lineRule="auto"/>
        <w:contextualSpacing w:val="0"/>
        <w:jc w:val="both"/>
        <w:outlineLvl w:val="3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>innowacje społeczne (</w:t>
      </w:r>
      <w:proofErr w:type="spellStart"/>
      <w:r w:rsidRPr="00032038">
        <w:rPr>
          <w:rFonts w:ascii="Arial" w:hAnsi="Arial" w:cs="Arial"/>
          <w:sz w:val="24"/>
          <w:szCs w:val="24"/>
        </w:rPr>
        <w:t>social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032038">
        <w:rPr>
          <w:rFonts w:ascii="Arial" w:hAnsi="Arial" w:cs="Arial"/>
          <w:sz w:val="24"/>
          <w:szCs w:val="24"/>
        </w:rPr>
        <w:t>innovation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), których celem jest poprawa jakości życia, np. przez oddziaływanie na poprawę warunków pracy, rozwój społeczności lokalnych lub </w:t>
      </w:r>
      <w:proofErr w:type="spellStart"/>
      <w:r w:rsidRPr="00032038">
        <w:rPr>
          <w:rFonts w:ascii="Arial" w:hAnsi="Arial" w:cs="Arial"/>
          <w:sz w:val="24"/>
          <w:szCs w:val="24"/>
        </w:rPr>
        <w:t>zachowań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i nawyków konsumpcyjnych, </w:t>
      </w:r>
    </w:p>
    <w:p w14:paraId="278F6852" w14:textId="77777777" w:rsidR="008D7595" w:rsidRPr="00032038" w:rsidRDefault="008D7595" w:rsidP="00032038">
      <w:pPr>
        <w:pStyle w:val="Akapitzlist"/>
        <w:keepNext/>
        <w:numPr>
          <w:ilvl w:val="0"/>
          <w:numId w:val="31"/>
        </w:numPr>
        <w:spacing w:after="120" w:line="360" w:lineRule="auto"/>
        <w:contextualSpacing w:val="0"/>
        <w:jc w:val="both"/>
        <w:outlineLvl w:val="3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>innowacje organizacyjne (</w:t>
      </w:r>
      <w:proofErr w:type="spellStart"/>
      <w:r w:rsidRPr="00032038">
        <w:rPr>
          <w:rFonts w:ascii="Arial" w:hAnsi="Arial" w:cs="Arial"/>
          <w:sz w:val="24"/>
          <w:szCs w:val="24"/>
        </w:rPr>
        <w:t>organizational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032038">
        <w:rPr>
          <w:rFonts w:ascii="Arial" w:hAnsi="Arial" w:cs="Arial"/>
          <w:sz w:val="24"/>
          <w:szCs w:val="24"/>
        </w:rPr>
        <w:t>innovation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), które w sferze </w:t>
      </w:r>
      <w:proofErr w:type="spellStart"/>
      <w:r w:rsidRPr="00032038">
        <w:rPr>
          <w:rFonts w:ascii="Arial" w:hAnsi="Arial" w:cs="Arial"/>
          <w:sz w:val="24"/>
          <w:szCs w:val="24"/>
        </w:rPr>
        <w:t>ekoinnowacji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obejmują np. systemy </w:t>
      </w:r>
      <w:proofErr w:type="spellStart"/>
      <w:r w:rsidRPr="00032038">
        <w:rPr>
          <w:rFonts w:ascii="Arial" w:hAnsi="Arial" w:cs="Arial"/>
          <w:sz w:val="24"/>
          <w:szCs w:val="24"/>
        </w:rPr>
        <w:t>ekozarządzania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, </w:t>
      </w:r>
    </w:p>
    <w:p w14:paraId="43A1D0CE" w14:textId="77777777" w:rsidR="008D7595" w:rsidRPr="00032038" w:rsidRDefault="008D7595" w:rsidP="00032038">
      <w:pPr>
        <w:pStyle w:val="Akapitzlist"/>
        <w:keepNext/>
        <w:numPr>
          <w:ilvl w:val="0"/>
          <w:numId w:val="31"/>
        </w:numPr>
        <w:spacing w:after="120" w:line="360" w:lineRule="auto"/>
        <w:contextualSpacing w:val="0"/>
        <w:jc w:val="both"/>
        <w:outlineLvl w:val="3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>innowacje instytucjonalne (</w:t>
      </w:r>
      <w:proofErr w:type="spellStart"/>
      <w:r w:rsidRPr="00032038">
        <w:rPr>
          <w:rFonts w:ascii="Arial" w:hAnsi="Arial" w:cs="Arial"/>
          <w:sz w:val="24"/>
          <w:szCs w:val="24"/>
        </w:rPr>
        <w:t>institutional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032038">
        <w:rPr>
          <w:rFonts w:ascii="Arial" w:hAnsi="Arial" w:cs="Arial"/>
          <w:sz w:val="24"/>
          <w:szCs w:val="24"/>
        </w:rPr>
        <w:t>innovation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), polegające na tworzeniu różnego typu struktur, takich jak klastry, sieci, platformy współpracy lub nieformalne grupy, których zadaniem jest zajmowanie się zagadnieniami środowiskowymi. </w:t>
      </w:r>
    </w:p>
    <w:p w14:paraId="31D43F76" w14:textId="77777777" w:rsidR="008D7595" w:rsidRPr="00032038" w:rsidRDefault="008D7595" w:rsidP="00032038">
      <w:pPr>
        <w:keepNext/>
        <w:spacing w:after="120" w:line="360" w:lineRule="auto"/>
        <w:jc w:val="both"/>
        <w:outlineLvl w:val="3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 xml:space="preserve">Kolejnym ważnym zagadnieniem rozpatrywanym w kontekście konkurencyjności zrównoważonej w aspekcie środowiska przyrodniczego jest kwestia zasobów naturalnych oraz ich własności i zarządzania nimi w celu poprawy efektywności ich wykorzystywania. Zrównoważenie środowiskowe może przełożyć się na poprawę konkurencyjności, jeśli w kraju istnieją formalne lub nieformalne instytucje, które definiują prawa własności w taki sposób, aby zagwarantować prymat zrównoważonych procesów ponad wykorzystanie ograniczonych zasobów. Wyposażenie w zasoby naturalne i zarzadzanie nimi może mieć bezpośredni pozytywny wpływ na konkurencyjność w jej zrównoważonym wymiarze, ale może również osłabiać konkurencyjność poprzez zniekształcanie wyborów w zakresie polityki gospodarczej. </w:t>
      </w:r>
    </w:p>
    <w:p w14:paraId="3693566D" w14:textId="77777777" w:rsidR="008D7595" w:rsidRPr="00032038" w:rsidRDefault="008D7595" w:rsidP="00032038">
      <w:pPr>
        <w:keepNext/>
        <w:spacing w:after="120" w:line="360" w:lineRule="auto"/>
        <w:jc w:val="both"/>
        <w:outlineLvl w:val="3"/>
        <w:rPr>
          <w:rFonts w:ascii="Arial" w:hAnsi="Arial" w:cs="Arial"/>
          <w:sz w:val="24"/>
          <w:szCs w:val="24"/>
        </w:rPr>
      </w:pPr>
      <w:r w:rsidRPr="00032038">
        <w:rPr>
          <w:rFonts w:ascii="Arial" w:hAnsi="Arial" w:cs="Arial"/>
          <w:sz w:val="24"/>
          <w:szCs w:val="24"/>
        </w:rPr>
        <w:t>Zjawisko osiągania gorszych wyników w zakresie rozwoju gospodarczego przez państwa bogate w surowce naturalne w porównaniu z krajami, których zasobność w surowce jest znikoma, nazywane jest „klątwą zasobów naturalnych” (</w:t>
      </w:r>
      <w:proofErr w:type="spellStart"/>
      <w:r w:rsidRPr="00032038">
        <w:rPr>
          <w:rFonts w:ascii="Arial" w:hAnsi="Arial" w:cs="Arial"/>
          <w:sz w:val="24"/>
          <w:szCs w:val="24"/>
        </w:rPr>
        <w:t>natural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032038">
        <w:rPr>
          <w:rFonts w:ascii="Arial" w:hAnsi="Arial" w:cs="Arial"/>
          <w:sz w:val="24"/>
          <w:szCs w:val="24"/>
        </w:rPr>
        <w:t>resource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032038">
        <w:rPr>
          <w:rFonts w:ascii="Arial" w:hAnsi="Arial" w:cs="Arial"/>
          <w:sz w:val="24"/>
          <w:szCs w:val="24"/>
        </w:rPr>
        <w:t>curse</w:t>
      </w:r>
      <w:proofErr w:type="spellEnd"/>
      <w:r w:rsidRPr="00032038">
        <w:rPr>
          <w:rFonts w:ascii="Arial" w:hAnsi="Arial" w:cs="Arial"/>
          <w:sz w:val="24"/>
          <w:szCs w:val="24"/>
        </w:rPr>
        <w:t>) lub inaczej „paradoksem obfitości” (</w:t>
      </w:r>
      <w:proofErr w:type="spellStart"/>
      <w:r w:rsidRPr="00032038">
        <w:rPr>
          <w:rFonts w:ascii="Arial" w:hAnsi="Arial" w:cs="Arial"/>
          <w:sz w:val="24"/>
          <w:szCs w:val="24"/>
        </w:rPr>
        <w:t>paradox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 of </w:t>
      </w:r>
      <w:proofErr w:type="spellStart"/>
      <w:r w:rsidRPr="00032038">
        <w:rPr>
          <w:rFonts w:ascii="Arial" w:hAnsi="Arial" w:cs="Arial"/>
          <w:sz w:val="24"/>
          <w:szCs w:val="24"/>
        </w:rPr>
        <w:t>plenty</w:t>
      </w:r>
      <w:proofErr w:type="spellEnd"/>
      <w:r w:rsidRPr="00032038">
        <w:rPr>
          <w:rFonts w:ascii="Arial" w:hAnsi="Arial" w:cs="Arial"/>
          <w:sz w:val="24"/>
          <w:szCs w:val="24"/>
        </w:rPr>
        <w:t xml:space="preserve">). Ma to miejsce w wielu krajach rozwijających się, które specjalizują się w tradycyjnych gałęziach przemysłu opartych na wydobyciu surowców, a które charakteryzują się niskim poziomem innowacyjności i niską wartością dodaną. Ponadto w państwach ekstensywny rozwój </w:t>
      </w:r>
      <w:r w:rsidRPr="00032038">
        <w:rPr>
          <w:rFonts w:ascii="Arial" w:hAnsi="Arial" w:cs="Arial"/>
          <w:sz w:val="24"/>
          <w:szCs w:val="24"/>
        </w:rPr>
        <w:lastRenderedPageBreak/>
        <w:t xml:space="preserve">przemysłu wydobywczego i nadmierna eksploatacja zasobów naturalnych </w:t>
      </w:r>
      <w:proofErr w:type="gramStart"/>
      <w:r w:rsidRPr="00032038">
        <w:rPr>
          <w:rFonts w:ascii="Arial" w:hAnsi="Arial" w:cs="Arial"/>
          <w:sz w:val="24"/>
          <w:szCs w:val="24"/>
        </w:rPr>
        <w:t>prowadzi</w:t>
      </w:r>
      <w:proofErr w:type="gramEnd"/>
      <w:r w:rsidRPr="00032038">
        <w:rPr>
          <w:rFonts w:ascii="Arial" w:hAnsi="Arial" w:cs="Arial"/>
          <w:sz w:val="24"/>
          <w:szCs w:val="24"/>
        </w:rPr>
        <w:t xml:space="preserve"> do degradacji środowiska przyrodniczego. </w:t>
      </w:r>
    </w:p>
    <w:p w14:paraId="4D677527" w14:textId="77777777" w:rsidR="008D7595" w:rsidRPr="00032038" w:rsidRDefault="008D7595" w:rsidP="00032038">
      <w:pPr>
        <w:keepNext/>
        <w:spacing w:after="120" w:line="360" w:lineRule="auto"/>
        <w:jc w:val="both"/>
        <w:outlineLvl w:val="3"/>
        <w:rPr>
          <w:rFonts w:ascii="Arial" w:hAnsi="Arial" w:cs="Arial"/>
          <w:sz w:val="24"/>
          <w:szCs w:val="24"/>
        </w:rPr>
      </w:pPr>
    </w:p>
    <w:p w14:paraId="6EDC0402" w14:textId="666FEA7E" w:rsidR="00BC3A65" w:rsidRPr="00032038" w:rsidRDefault="00BC3A65" w:rsidP="00032038">
      <w:pPr>
        <w:spacing w:line="360" w:lineRule="auto"/>
        <w:rPr>
          <w:rFonts w:ascii="Arial" w:hAnsi="Arial" w:cs="Arial"/>
        </w:rPr>
      </w:pPr>
    </w:p>
    <w:sectPr w:rsidR="00BC3A65" w:rsidRPr="00032038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B627AF" w14:textId="77777777" w:rsidR="00C75499" w:rsidRDefault="00C75499" w:rsidP="003C513B">
      <w:pPr>
        <w:spacing w:after="0" w:line="240" w:lineRule="auto"/>
      </w:pPr>
      <w:r>
        <w:separator/>
      </w:r>
    </w:p>
  </w:endnote>
  <w:endnote w:type="continuationSeparator" w:id="0">
    <w:p w14:paraId="4B6846B5" w14:textId="77777777" w:rsidR="00C75499" w:rsidRDefault="00C75499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99FDB9" w14:textId="77777777" w:rsidR="00C75499" w:rsidRDefault="00C75499" w:rsidP="003C513B">
      <w:pPr>
        <w:spacing w:after="0" w:line="240" w:lineRule="auto"/>
      </w:pPr>
      <w:r>
        <w:separator/>
      </w:r>
    </w:p>
  </w:footnote>
  <w:footnote w:type="continuationSeparator" w:id="0">
    <w:p w14:paraId="3F6B9440" w14:textId="77777777" w:rsidR="00C75499" w:rsidRDefault="00C75499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2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4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4673FB3"/>
    <w:multiLevelType w:val="hybridMultilevel"/>
    <w:tmpl w:val="105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19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4"/>
  </w:num>
  <w:num w:numId="2" w16cid:durableId="696547362">
    <w:abstractNumId w:val="21"/>
  </w:num>
  <w:num w:numId="3" w16cid:durableId="1869222873">
    <w:abstractNumId w:val="28"/>
  </w:num>
  <w:num w:numId="4" w16cid:durableId="765223711">
    <w:abstractNumId w:val="22"/>
  </w:num>
  <w:num w:numId="5" w16cid:durableId="1859393560">
    <w:abstractNumId w:val="24"/>
  </w:num>
  <w:num w:numId="6" w16cid:durableId="12462334">
    <w:abstractNumId w:val="7"/>
  </w:num>
  <w:num w:numId="7" w16cid:durableId="1699433921">
    <w:abstractNumId w:val="23"/>
  </w:num>
  <w:num w:numId="8" w16cid:durableId="579145953">
    <w:abstractNumId w:val="15"/>
  </w:num>
  <w:num w:numId="9" w16cid:durableId="457845199">
    <w:abstractNumId w:val="0"/>
  </w:num>
  <w:num w:numId="10" w16cid:durableId="614871375">
    <w:abstractNumId w:val="29"/>
  </w:num>
  <w:num w:numId="11" w16cid:durableId="1477379881">
    <w:abstractNumId w:val="6"/>
  </w:num>
  <w:num w:numId="12" w16cid:durableId="806119431">
    <w:abstractNumId w:val="19"/>
  </w:num>
  <w:num w:numId="13" w16cid:durableId="577253963">
    <w:abstractNumId w:val="20"/>
  </w:num>
  <w:num w:numId="14" w16cid:durableId="42218609">
    <w:abstractNumId w:val="17"/>
  </w:num>
  <w:num w:numId="15" w16cid:durableId="220100898">
    <w:abstractNumId w:val="27"/>
  </w:num>
  <w:num w:numId="16" w16cid:durableId="1293637815">
    <w:abstractNumId w:val="11"/>
  </w:num>
  <w:num w:numId="17" w16cid:durableId="461732615">
    <w:abstractNumId w:val="2"/>
  </w:num>
  <w:num w:numId="18" w16cid:durableId="311907466">
    <w:abstractNumId w:val="13"/>
  </w:num>
  <w:num w:numId="19" w16cid:durableId="1636064392">
    <w:abstractNumId w:val="30"/>
  </w:num>
  <w:num w:numId="20" w16cid:durableId="982734635">
    <w:abstractNumId w:val="14"/>
  </w:num>
  <w:num w:numId="21" w16cid:durableId="814877182">
    <w:abstractNumId w:val="12"/>
  </w:num>
  <w:num w:numId="22" w16cid:durableId="1296837055">
    <w:abstractNumId w:val="5"/>
  </w:num>
  <w:num w:numId="23" w16cid:durableId="17434870">
    <w:abstractNumId w:val="25"/>
  </w:num>
  <w:num w:numId="24" w16cid:durableId="1631671284">
    <w:abstractNumId w:val="18"/>
  </w:num>
  <w:num w:numId="25" w16cid:durableId="1601836864">
    <w:abstractNumId w:val="3"/>
  </w:num>
  <w:num w:numId="26" w16cid:durableId="1767731004">
    <w:abstractNumId w:val="1"/>
  </w:num>
  <w:num w:numId="27" w16cid:durableId="439881234">
    <w:abstractNumId w:val="10"/>
  </w:num>
  <w:num w:numId="28" w16cid:durableId="1852643888">
    <w:abstractNumId w:val="26"/>
  </w:num>
  <w:num w:numId="29" w16cid:durableId="1621300484">
    <w:abstractNumId w:val="16"/>
  </w:num>
  <w:num w:numId="30" w16cid:durableId="1994523054">
    <w:abstractNumId w:val="9"/>
  </w:num>
  <w:num w:numId="31" w16cid:durableId="151638758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32038"/>
    <w:rsid w:val="00043121"/>
    <w:rsid w:val="00057197"/>
    <w:rsid w:val="000604B3"/>
    <w:rsid w:val="000813C3"/>
    <w:rsid w:val="000817FF"/>
    <w:rsid w:val="00085DA6"/>
    <w:rsid w:val="000A28A2"/>
    <w:rsid w:val="000A7934"/>
    <w:rsid w:val="000E2620"/>
    <w:rsid w:val="000F4038"/>
    <w:rsid w:val="000F4DCC"/>
    <w:rsid w:val="00110C56"/>
    <w:rsid w:val="00135864"/>
    <w:rsid w:val="001C7283"/>
    <w:rsid w:val="002C2DDA"/>
    <w:rsid w:val="002C7986"/>
    <w:rsid w:val="002D2AA0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561EB"/>
    <w:rsid w:val="004D282F"/>
    <w:rsid w:val="0052608F"/>
    <w:rsid w:val="00537297"/>
    <w:rsid w:val="00574127"/>
    <w:rsid w:val="005D1F59"/>
    <w:rsid w:val="0065370D"/>
    <w:rsid w:val="00682EA8"/>
    <w:rsid w:val="00701A65"/>
    <w:rsid w:val="0072221C"/>
    <w:rsid w:val="00742AF8"/>
    <w:rsid w:val="007B3034"/>
    <w:rsid w:val="007C6FC4"/>
    <w:rsid w:val="0086458A"/>
    <w:rsid w:val="008D7595"/>
    <w:rsid w:val="008E4DF2"/>
    <w:rsid w:val="008F448A"/>
    <w:rsid w:val="009647AF"/>
    <w:rsid w:val="00975F04"/>
    <w:rsid w:val="009953D6"/>
    <w:rsid w:val="00A522DA"/>
    <w:rsid w:val="00A73202"/>
    <w:rsid w:val="00AD6FD9"/>
    <w:rsid w:val="00B45507"/>
    <w:rsid w:val="00B73705"/>
    <w:rsid w:val="00BC3A65"/>
    <w:rsid w:val="00BF196C"/>
    <w:rsid w:val="00C05B1A"/>
    <w:rsid w:val="00C10415"/>
    <w:rsid w:val="00C75499"/>
    <w:rsid w:val="00D6339D"/>
    <w:rsid w:val="00D939FB"/>
    <w:rsid w:val="00DD3FE2"/>
    <w:rsid w:val="00E01A8E"/>
    <w:rsid w:val="00E027B1"/>
    <w:rsid w:val="00E0640C"/>
    <w:rsid w:val="00E147BD"/>
    <w:rsid w:val="00E163D8"/>
    <w:rsid w:val="00EA6BFB"/>
    <w:rsid w:val="00EB054A"/>
    <w:rsid w:val="00EF4C88"/>
    <w:rsid w:val="00EF5A6D"/>
    <w:rsid w:val="00F248D1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3B41873-0314-482E-AA2A-2CBBF62E28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0B5A3B5-8391-436D-901F-26355A7F7C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515D85A-0415-4259-897F-D8E9516475B9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874</Words>
  <Characters>5249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2023-03-01T22:15:00Z</dcterms:created>
  <dcterms:modified xsi:type="dcterms:W3CDTF">2023-03-01T22:44:00Z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