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19D0A9" w14:textId="77777777" w:rsidR="008E4DF2" w:rsidRPr="008B39EC" w:rsidRDefault="008E4DF2" w:rsidP="008B39EC">
      <w:pPr>
        <w:spacing w:line="360" w:lineRule="auto"/>
        <w:rPr>
          <w:rFonts w:ascii="Arial" w:hAnsi="Arial" w:cs="Arial"/>
          <w:sz w:val="24"/>
          <w:szCs w:val="24"/>
        </w:rPr>
      </w:pPr>
      <w:r w:rsidRPr="008B39EC">
        <w:rPr>
          <w:rFonts w:ascii="Arial" w:hAnsi="Arial" w:cs="Arial"/>
          <w:sz w:val="24"/>
          <w:szCs w:val="24"/>
        </w:rPr>
        <w:t xml:space="preserve">Oszczędzanie energii i surowców przynosi korzyści o wiele większe niż ekologiczne metody ich wytworzenia. Łatwiej jest nie zaświecić lampy na biurku niż kupić oświetlenie </w:t>
      </w:r>
      <w:proofErr w:type="spellStart"/>
      <w:r w:rsidRPr="008B39EC">
        <w:rPr>
          <w:rFonts w:ascii="Arial" w:hAnsi="Arial" w:cs="Arial"/>
          <w:sz w:val="24"/>
          <w:szCs w:val="24"/>
        </w:rPr>
        <w:t>LEDowe</w:t>
      </w:r>
      <w:proofErr w:type="spellEnd"/>
      <w:r w:rsidRPr="008B39EC">
        <w:rPr>
          <w:rFonts w:ascii="Arial" w:hAnsi="Arial" w:cs="Arial"/>
          <w:sz w:val="24"/>
          <w:szCs w:val="24"/>
        </w:rPr>
        <w:t xml:space="preserve">. Czy dobre praktyki z domu możemy przenieść do pracy zawodowej? Okazuje się, że część z nich jest użyteczna w każdym miejscu. Autor w tym artykule skupi się na oszczędnościach surowcowych. </w:t>
      </w:r>
    </w:p>
    <w:p w14:paraId="6266D5CF" w14:textId="77777777" w:rsidR="008E4DF2" w:rsidRPr="008B39EC" w:rsidRDefault="008E4DF2" w:rsidP="008B39EC">
      <w:pPr>
        <w:spacing w:line="360" w:lineRule="auto"/>
        <w:rPr>
          <w:rFonts w:ascii="Arial" w:hAnsi="Arial" w:cs="Arial"/>
          <w:sz w:val="24"/>
          <w:szCs w:val="24"/>
        </w:rPr>
      </w:pPr>
    </w:p>
    <w:p w14:paraId="1E254E21" w14:textId="77777777" w:rsidR="008E4DF2" w:rsidRPr="008B39EC" w:rsidRDefault="008E4DF2" w:rsidP="008B39EC">
      <w:pPr>
        <w:pStyle w:val="Akapitzlist"/>
        <w:numPr>
          <w:ilvl w:val="0"/>
          <w:numId w:val="13"/>
        </w:numPr>
        <w:spacing w:after="0" w:line="360" w:lineRule="auto"/>
        <w:rPr>
          <w:rFonts w:ascii="Arial" w:hAnsi="Arial" w:cs="Arial"/>
          <w:sz w:val="24"/>
          <w:szCs w:val="24"/>
        </w:rPr>
      </w:pPr>
      <w:r w:rsidRPr="008B39EC">
        <w:rPr>
          <w:rFonts w:ascii="Arial" w:hAnsi="Arial" w:cs="Arial"/>
          <w:sz w:val="24"/>
          <w:szCs w:val="24"/>
        </w:rPr>
        <w:t xml:space="preserve">Używaj wielorazowych butelek lub kubków. W 2015 roku odpady z tworzyw sztucznych sięgnęły 381 milionów ton. Codzienne używanie plastikowych lub papierowych kubków do picia wody z dystrybutorów prowadzi do znacznych strat materiałowych i produkcji odpadów. Pracownik powinien samodzielnie zacząć korzystać z plastikowych lub ceramicznych pojemników/butelek użytku wielorazowego. Nic nie stoi również na przeszkodzie, aby tego typu rozwiązania zasugerować przełożonym w organizacji – jednorazowy większy koszt jest lepszy niż „abonament” płacony regularnie na nowe kubki które wylądują w koszu po kilku chwilach od użycia. </w:t>
      </w:r>
    </w:p>
    <w:p w14:paraId="1832F8FF" w14:textId="77777777" w:rsidR="008E4DF2" w:rsidRPr="008B39EC" w:rsidRDefault="008E4DF2" w:rsidP="008B39EC">
      <w:pPr>
        <w:pStyle w:val="Akapitzlist"/>
        <w:numPr>
          <w:ilvl w:val="0"/>
          <w:numId w:val="13"/>
        </w:numPr>
        <w:spacing w:after="0" w:line="360" w:lineRule="auto"/>
        <w:rPr>
          <w:rFonts w:ascii="Arial" w:hAnsi="Arial" w:cs="Arial"/>
          <w:sz w:val="24"/>
          <w:szCs w:val="24"/>
        </w:rPr>
      </w:pPr>
      <w:r w:rsidRPr="008B39EC">
        <w:rPr>
          <w:rFonts w:ascii="Arial" w:hAnsi="Arial" w:cs="Arial"/>
          <w:sz w:val="24"/>
          <w:szCs w:val="24"/>
        </w:rPr>
        <w:t>Używanie korespondencji elektronicznej, gdzie to tylko możliwe. Jeżeli nie ma takiej możliwości z powodów niezależnych, jak procedury lub akty prawne, staraj się użytkować papier jak długo się da. Papierowe koperty po delikatnym otworzeniu mogą z powodzeniem być wykorzystane ponownie w korespondencji wewnętrznej – czasem wielokrotnie! Dokumenty zadrukowane jednostronnie i nie stanowiące tajemnicy przedsiębiorstwa idealnie nadadzą się na notatnik lub jako wsad do druku pojedynczej strony – o ile będziemy do tego zmuszeni.</w:t>
      </w:r>
    </w:p>
    <w:p w14:paraId="7686FA2B" w14:textId="77777777" w:rsidR="008E4DF2" w:rsidRPr="008B39EC" w:rsidRDefault="008E4DF2" w:rsidP="008B39EC">
      <w:pPr>
        <w:pStyle w:val="Akapitzlist"/>
        <w:numPr>
          <w:ilvl w:val="0"/>
          <w:numId w:val="13"/>
        </w:numPr>
        <w:spacing w:after="0" w:line="360" w:lineRule="auto"/>
        <w:rPr>
          <w:rFonts w:ascii="Arial" w:hAnsi="Arial" w:cs="Arial"/>
          <w:sz w:val="24"/>
          <w:szCs w:val="24"/>
        </w:rPr>
      </w:pPr>
      <w:r w:rsidRPr="008B39EC">
        <w:rPr>
          <w:rFonts w:ascii="Arial" w:hAnsi="Arial" w:cs="Arial"/>
          <w:sz w:val="24"/>
          <w:szCs w:val="24"/>
        </w:rPr>
        <w:t xml:space="preserve">Dbaj o swoje miejsce pracy. W wielu przypadkach utrzymanie czystości w miejscu pracy, czy mówimy tutaj o pracy przy urządzeniach na hali produkcyjnej czy też pracy biurowej, powoduje dłuższą żywotność sprzętu a przez to mniejsze zużycie surowców. Czasem zdarza się, że do działu IT trafia laptop zalany kawą/herbatą lub innym napojem który niechcący potrąciliśmy ręką. Jest to rozwiązanie nieoptymalne z wielu względów – dział IT musi poświęcić czas na naprawę, czy to samodzielną czy też kontakt z firmą zewnętrzną, do czego dojdą koszty transportu i serwisu. Pracownik do </w:t>
      </w:r>
      <w:r w:rsidRPr="008B39EC">
        <w:rPr>
          <w:rFonts w:ascii="Arial" w:hAnsi="Arial" w:cs="Arial"/>
          <w:sz w:val="24"/>
          <w:szCs w:val="24"/>
        </w:rPr>
        <w:lastRenderedPageBreak/>
        <w:t xml:space="preserve">efektywnej pracy musi otrzymać urządzenie zastępcze, które nie byłoby potrzebne, gdyby jego sprzęt nie został zalany. Jeżeli laptopa uda się uratować, temat jest zakończony. Jeżeli jednak uszkodzenie skutkuje całkowitym zniszczeniem urządzenia, najczęściej problem jest znacznie poważniejszy. Tylko niewielka część podzespołów ulega recyklingowi. Najczęściej producenci laptopów z generacji na generację ulepszają swoje rozwiązania, powodując brak kompatybilności wstecznej. Jest </w:t>
      </w:r>
      <w:proofErr w:type="spellStart"/>
      <w:r w:rsidRPr="008B39EC">
        <w:rPr>
          <w:rFonts w:ascii="Arial" w:hAnsi="Arial" w:cs="Arial"/>
          <w:sz w:val="24"/>
          <w:szCs w:val="24"/>
        </w:rPr>
        <w:t>jest</w:t>
      </w:r>
      <w:proofErr w:type="spellEnd"/>
      <w:r w:rsidRPr="008B39EC">
        <w:rPr>
          <w:rFonts w:ascii="Arial" w:hAnsi="Arial" w:cs="Arial"/>
          <w:sz w:val="24"/>
          <w:szCs w:val="24"/>
        </w:rPr>
        <w:t xml:space="preserve"> bardzo mało prawdopodobne, że np. w pełni sprawna obudowa wykonana z aluminium będzie mogła być wykorzystana do nowego urządzenia. Nie mówimy tutaj oczywiście o recyklingu materiału a o jego wykorzystaniu w trybie plug and </w:t>
      </w:r>
      <w:proofErr w:type="spellStart"/>
      <w:r w:rsidRPr="008B39EC">
        <w:rPr>
          <w:rFonts w:ascii="Arial" w:hAnsi="Arial" w:cs="Arial"/>
          <w:sz w:val="24"/>
          <w:szCs w:val="24"/>
        </w:rPr>
        <w:t>play</w:t>
      </w:r>
      <w:proofErr w:type="spellEnd"/>
      <w:r w:rsidRPr="008B39EC">
        <w:rPr>
          <w:rFonts w:ascii="Arial" w:hAnsi="Arial" w:cs="Arial"/>
          <w:sz w:val="24"/>
          <w:szCs w:val="24"/>
        </w:rPr>
        <w:t xml:space="preserve">. Podobna sytuacja dotyczy klawiatur, baterii, ekranów, układów chłodzenia. Procesory najczęściej są wlutowane w płyty głównie, coraz popularniejszą praktyką jest również lutowanie do płyty głównej pamięci ram. W przypadku produktów niektórych producentów (np. Apple) do płyty głównej przylutowany jest również dysk </w:t>
      </w:r>
      <w:proofErr w:type="spellStart"/>
      <w:r w:rsidRPr="008B39EC">
        <w:rPr>
          <w:rFonts w:ascii="Arial" w:hAnsi="Arial" w:cs="Arial"/>
          <w:sz w:val="24"/>
          <w:szCs w:val="24"/>
        </w:rPr>
        <w:t>ssd</w:t>
      </w:r>
      <w:proofErr w:type="spellEnd"/>
      <w:r w:rsidRPr="008B39EC">
        <w:rPr>
          <w:rFonts w:ascii="Arial" w:hAnsi="Arial" w:cs="Arial"/>
          <w:sz w:val="24"/>
          <w:szCs w:val="24"/>
        </w:rPr>
        <w:t xml:space="preserve">. Ogranicza to możliwości recyklingu, często pozwalając jedynie na zastosowanie uszkodzonego urządzenia jako „dawcy organów” dla serwisów naprawczych. Choć i z tym bywają problemy, ale nie jest to temat który autor poruszy w tym artykule. Urządzenia na hali produkcyjnej również będą działać dłużej, jeżeli będziemy o nie dbać. Codzienne posprzątanie tokarki/frezarki zajmie niewiele czasu, a pozwoli na uniknięcie akumulacji kurzu/brudu/oleju które mogą skutkować przedwczesnym zużyciem </w:t>
      </w:r>
      <w:proofErr w:type="spellStart"/>
      <w:r w:rsidRPr="008B39EC">
        <w:rPr>
          <w:rFonts w:ascii="Arial" w:hAnsi="Arial" w:cs="Arial"/>
          <w:sz w:val="24"/>
          <w:szCs w:val="24"/>
        </w:rPr>
        <w:t>ww</w:t>
      </w:r>
      <w:proofErr w:type="spellEnd"/>
      <w:r w:rsidRPr="008B39EC">
        <w:rPr>
          <w:rFonts w:ascii="Arial" w:hAnsi="Arial" w:cs="Arial"/>
          <w:sz w:val="24"/>
          <w:szCs w:val="24"/>
        </w:rPr>
        <w:t xml:space="preserve"> narzędzi, ale również mogą uniemożliwić wczesne wykrycie usterki w postaci wycieku lub pęknięcia. Znane są przypadki, gdzie tokarki, które nie były regularnie czyszczone całkowicie zatrzymywały się ze względu na wyciek oleju i skutkujące nim zatarcie silników/łożysk. Wszechobecny bród nie pozwalał na odpowiednie wczesne dostrzeżenie tych problemów. Nie należy chyba nawet wspominać, że pisząc program na urządzenie skrawające powinniśmy optymalizować układ elementów, aby generować jak najmniej odpadów. Częstym widokiem jest jeden duży kosz na wszystkie odpady powstające podczas skrawania. Jeżeli na danym urządzeniu pracujemy tylko na jednym rodzaju materiału, nie jest to problemem. Jednak w przypadku, gdy materiałów jest więcej, należy stosować </w:t>
      </w:r>
      <w:r w:rsidRPr="008B39EC">
        <w:rPr>
          <w:rFonts w:ascii="Arial" w:hAnsi="Arial" w:cs="Arial"/>
          <w:sz w:val="24"/>
          <w:szCs w:val="24"/>
        </w:rPr>
        <w:lastRenderedPageBreak/>
        <w:t xml:space="preserve">wiele skrzyń na wióry, ułatwiając segregację i recykling materiałów. Prowadzenie magazynu odpadów, w postaci resztkowych kawałków kątowników, płaskowników itp. pozwoli na znaczne oszczędności materiałowe i czasowe w przypadku konieczności wykonania niewielkiego elementu. Oczywiście nie należy przedobrzyć w drugą stronę, tworząc skład odpadów „bo kiedyś może się przydać”. </w:t>
      </w:r>
    </w:p>
    <w:p w14:paraId="333831EB" w14:textId="77777777" w:rsidR="008E4DF2" w:rsidRPr="008B39EC" w:rsidRDefault="008E4DF2" w:rsidP="008B39EC">
      <w:pPr>
        <w:pStyle w:val="Akapitzlist"/>
        <w:numPr>
          <w:ilvl w:val="0"/>
          <w:numId w:val="13"/>
        </w:numPr>
        <w:spacing w:after="0" w:line="360" w:lineRule="auto"/>
        <w:rPr>
          <w:rFonts w:ascii="Arial" w:hAnsi="Arial" w:cs="Arial"/>
          <w:sz w:val="24"/>
          <w:szCs w:val="24"/>
        </w:rPr>
      </w:pPr>
      <w:r w:rsidRPr="008B39EC">
        <w:rPr>
          <w:rFonts w:ascii="Arial" w:hAnsi="Arial" w:cs="Arial"/>
          <w:sz w:val="24"/>
          <w:szCs w:val="24"/>
        </w:rPr>
        <w:t xml:space="preserve">Biorąc pod uwagę zmiany jakie wywarł na wszystkich Covid-19, najlepszą oszczędnością zasobów przedsiębiorstwa jest przejście na pracę zdalną, o ile jest możliwa. W myśl zasady – surowiec nie wykorzystany jest lepszy niż surowiec wytworzony jakąkolwiek metodą, nawet w 100% odnawialną i ekologiczną. Oszczędności na powierzchni biurowej, klimatyzacji, energii elektrycznej, wodzie użytkowej, środkach czystości itp. Korzyści jest bardzo wiele. Pracownik nie będzie musiał korzystać z transportu publicznego lub samochodu osobowego i poświęcać, często długiego, czasu na dojazdy. </w:t>
      </w:r>
    </w:p>
    <w:p w14:paraId="6EDC0402" w14:textId="12A5C8EC" w:rsidR="00BC3A65" w:rsidRPr="008B39EC" w:rsidRDefault="00BC3A65" w:rsidP="008B39EC">
      <w:pPr>
        <w:spacing w:line="360" w:lineRule="auto"/>
        <w:rPr>
          <w:rFonts w:ascii="Arial" w:hAnsi="Arial" w:cs="Arial"/>
          <w:sz w:val="24"/>
          <w:szCs w:val="24"/>
        </w:rPr>
      </w:pPr>
    </w:p>
    <w:sectPr w:rsidR="00BC3A65" w:rsidRPr="008B39EC" w:rsidSect="004561EB">
      <w:headerReference w:type="default" r:id="rId9"/>
      <w:pgSz w:w="11906" w:h="16838"/>
      <w:pgMar w:top="2397" w:right="1417" w:bottom="1276" w:left="1417" w:header="519" w:footer="4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EC065D" w14:textId="77777777" w:rsidR="00DE0641" w:rsidRDefault="00DE0641" w:rsidP="003C513B">
      <w:pPr>
        <w:spacing w:after="0" w:line="240" w:lineRule="auto"/>
      </w:pPr>
      <w:r>
        <w:separator/>
      </w:r>
    </w:p>
  </w:endnote>
  <w:endnote w:type="continuationSeparator" w:id="0">
    <w:p w14:paraId="6E89286B" w14:textId="77777777" w:rsidR="00DE0641" w:rsidRDefault="00DE0641" w:rsidP="003C51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ED85A5" w14:textId="77777777" w:rsidR="00DE0641" w:rsidRDefault="00DE0641" w:rsidP="003C513B">
      <w:pPr>
        <w:spacing w:after="0" w:line="240" w:lineRule="auto"/>
      </w:pPr>
      <w:r>
        <w:separator/>
      </w:r>
    </w:p>
  </w:footnote>
  <w:footnote w:type="continuationSeparator" w:id="0">
    <w:p w14:paraId="67A8B3FF" w14:textId="77777777" w:rsidR="00DE0641" w:rsidRDefault="00DE0641" w:rsidP="003C513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C351E0" w14:textId="73D14582" w:rsidR="003C513B" w:rsidRDefault="004561EB">
    <w:pPr>
      <w:pStyle w:val="Nagwek"/>
    </w:pPr>
    <w:r w:rsidRPr="00A522DA">
      <w:rPr>
        <w:noProof/>
      </w:rPr>
      <w:drawing>
        <wp:anchor distT="0" distB="0" distL="114300" distR="114300" simplePos="0" relativeHeight="251659264" behindDoc="0" locked="0" layoutInCell="1" allowOverlap="1" wp14:anchorId="79F3F67F" wp14:editId="7F708FAE">
          <wp:simplePos x="0" y="0"/>
          <wp:positionH relativeFrom="column">
            <wp:posOffset>1905</wp:posOffset>
          </wp:positionH>
          <wp:positionV relativeFrom="paragraph">
            <wp:posOffset>313055</wp:posOffset>
          </wp:positionV>
          <wp:extent cx="1790700" cy="317500"/>
          <wp:effectExtent l="0" t="0" r="0" b="0"/>
          <wp:wrapNone/>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790700" cy="317500"/>
                  </a:xfrm>
                  <a:prstGeom prst="rect">
                    <a:avLst/>
                  </a:prstGeom>
                </pic:spPr>
              </pic:pic>
            </a:graphicData>
          </a:graphic>
          <wp14:sizeRelH relativeFrom="page">
            <wp14:pctWidth>0</wp14:pctWidth>
          </wp14:sizeRelH>
          <wp14:sizeRelV relativeFrom="page">
            <wp14:pctHeight>0</wp14:pctHeight>
          </wp14:sizeRelV>
        </wp:anchor>
      </w:drawing>
    </w:r>
    <w:r w:rsidR="003C513B" w:rsidRPr="003C513B">
      <w:rPr>
        <w:noProof/>
      </w:rPr>
      <w:drawing>
        <wp:anchor distT="0" distB="0" distL="114300" distR="114300" simplePos="0" relativeHeight="251658240" behindDoc="1" locked="0" layoutInCell="1" allowOverlap="1" wp14:anchorId="5B7718C8" wp14:editId="13A620B5">
          <wp:simplePos x="0" y="0"/>
          <wp:positionH relativeFrom="column">
            <wp:posOffset>3986759</wp:posOffset>
          </wp:positionH>
          <wp:positionV relativeFrom="paragraph">
            <wp:posOffset>142950</wp:posOffset>
          </wp:positionV>
          <wp:extent cx="1552779" cy="665477"/>
          <wp:effectExtent l="0" t="0" r="0" b="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580621" cy="67740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573031"/>
    <w:multiLevelType w:val="hybridMultilevel"/>
    <w:tmpl w:val="3FB0A560"/>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167B2368"/>
    <w:multiLevelType w:val="hybridMultilevel"/>
    <w:tmpl w:val="CE20617C"/>
    <w:lvl w:ilvl="0" w:tplc="43A0DFD6">
      <w:start w:val="1"/>
      <w:numFmt w:val="decimal"/>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2" w15:restartNumberingAfterBreak="0">
    <w:nsid w:val="209A6726"/>
    <w:multiLevelType w:val="hybridMultilevel"/>
    <w:tmpl w:val="0A3295B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20F0415E"/>
    <w:multiLevelType w:val="hybridMultilevel"/>
    <w:tmpl w:val="D7BCE0A6"/>
    <w:lvl w:ilvl="0" w:tplc="58B6CD92">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 w15:restartNumberingAfterBreak="0">
    <w:nsid w:val="3DCE3D69"/>
    <w:multiLevelType w:val="hybridMultilevel"/>
    <w:tmpl w:val="DB3E717A"/>
    <w:lvl w:ilvl="0" w:tplc="964207F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 w15:restartNumberingAfterBreak="0">
    <w:nsid w:val="4AFB5698"/>
    <w:multiLevelType w:val="hybridMultilevel"/>
    <w:tmpl w:val="77989B8E"/>
    <w:lvl w:ilvl="0" w:tplc="14B22E4C">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59544251"/>
    <w:multiLevelType w:val="hybridMultilevel"/>
    <w:tmpl w:val="EC0AC8A0"/>
    <w:lvl w:ilvl="0" w:tplc="E444A5A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5CF26B25"/>
    <w:multiLevelType w:val="hybridMultilevel"/>
    <w:tmpl w:val="5AE80E22"/>
    <w:lvl w:ilvl="0" w:tplc="D4B8388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6232575D"/>
    <w:multiLevelType w:val="hybridMultilevel"/>
    <w:tmpl w:val="F3D4AD56"/>
    <w:lvl w:ilvl="0" w:tplc="7124007C">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9" w15:restartNumberingAfterBreak="0">
    <w:nsid w:val="64153F19"/>
    <w:multiLevelType w:val="hybridMultilevel"/>
    <w:tmpl w:val="62B42044"/>
    <w:lvl w:ilvl="0" w:tplc="554A840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0" w15:restartNumberingAfterBreak="0">
    <w:nsid w:val="67200CB2"/>
    <w:multiLevelType w:val="hybridMultilevel"/>
    <w:tmpl w:val="E392DB84"/>
    <w:lvl w:ilvl="0" w:tplc="B34883E8">
      <w:start w:val="1"/>
      <w:numFmt w:val="decimal"/>
      <w:lvlText w:val="%1."/>
      <w:lvlJc w:val="left"/>
      <w:pPr>
        <w:ind w:left="1800" w:hanging="360"/>
      </w:pPr>
      <w:rPr>
        <w:rFonts w:hint="default"/>
      </w:r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11" w15:restartNumberingAfterBreak="0">
    <w:nsid w:val="7C1E5E56"/>
    <w:multiLevelType w:val="hybridMultilevel"/>
    <w:tmpl w:val="F84AEFFE"/>
    <w:lvl w:ilvl="0" w:tplc="B77E0BC6">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2" w15:restartNumberingAfterBreak="0">
    <w:nsid w:val="7C521907"/>
    <w:multiLevelType w:val="hybridMultilevel"/>
    <w:tmpl w:val="0068FF6E"/>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597904674">
    <w:abstractNumId w:val="1"/>
  </w:num>
  <w:num w:numId="2" w16cid:durableId="696547362">
    <w:abstractNumId w:val="7"/>
  </w:num>
  <w:num w:numId="3" w16cid:durableId="1869222873">
    <w:abstractNumId w:val="11"/>
  </w:num>
  <w:num w:numId="4" w16cid:durableId="765223711">
    <w:abstractNumId w:val="8"/>
  </w:num>
  <w:num w:numId="5" w16cid:durableId="1859393560">
    <w:abstractNumId w:val="10"/>
  </w:num>
  <w:num w:numId="6" w16cid:durableId="12462334">
    <w:abstractNumId w:val="3"/>
  </w:num>
  <w:num w:numId="7" w16cid:durableId="1699433921">
    <w:abstractNumId w:val="9"/>
  </w:num>
  <w:num w:numId="8" w16cid:durableId="579145953">
    <w:abstractNumId w:val="4"/>
  </w:num>
  <w:num w:numId="9" w16cid:durableId="457845199">
    <w:abstractNumId w:val="0"/>
  </w:num>
  <w:num w:numId="10" w16cid:durableId="614871375">
    <w:abstractNumId w:val="12"/>
  </w:num>
  <w:num w:numId="11" w16cid:durableId="1477379881">
    <w:abstractNumId w:val="2"/>
  </w:num>
  <w:num w:numId="12" w16cid:durableId="806119431">
    <w:abstractNumId w:val="5"/>
  </w:num>
  <w:num w:numId="13" w16cid:durableId="577253963">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5A6D"/>
    <w:rsid w:val="00026DB7"/>
    <w:rsid w:val="000604B3"/>
    <w:rsid w:val="000813C3"/>
    <w:rsid w:val="000F4DCC"/>
    <w:rsid w:val="002C2DDA"/>
    <w:rsid w:val="00380DC2"/>
    <w:rsid w:val="00395D4F"/>
    <w:rsid w:val="003C513B"/>
    <w:rsid w:val="004071BA"/>
    <w:rsid w:val="0041227E"/>
    <w:rsid w:val="004561EB"/>
    <w:rsid w:val="0052608F"/>
    <w:rsid w:val="00537297"/>
    <w:rsid w:val="00701A65"/>
    <w:rsid w:val="007C6FC4"/>
    <w:rsid w:val="0086458A"/>
    <w:rsid w:val="008B39EC"/>
    <w:rsid w:val="008E4DF2"/>
    <w:rsid w:val="009647AF"/>
    <w:rsid w:val="00975F04"/>
    <w:rsid w:val="00A522DA"/>
    <w:rsid w:val="00BC3A65"/>
    <w:rsid w:val="00BF196C"/>
    <w:rsid w:val="00C10415"/>
    <w:rsid w:val="00DD3FE2"/>
    <w:rsid w:val="00DE0641"/>
    <w:rsid w:val="00E01A8E"/>
    <w:rsid w:val="00E147BD"/>
    <w:rsid w:val="00E163D8"/>
    <w:rsid w:val="00EB054A"/>
    <w:rsid w:val="00EF5A6D"/>
    <w:rsid w:val="00F73300"/>
    <w:rsid w:val="00F8280A"/>
    <w:rsid w:val="00FA277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19650"/>
  <w15:chartTrackingRefBased/>
  <w15:docId w15:val="{692B5FB5-3275-4AA6-BF14-A3D3A30D52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link w:val="Nagwek1Znak"/>
    <w:uiPriority w:val="9"/>
    <w:qFormat/>
    <w:rsid w:val="004071BA"/>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4071BA"/>
    <w:rPr>
      <w:rFonts w:ascii="Times New Roman" w:eastAsia="Times New Roman" w:hAnsi="Times New Roman" w:cs="Times New Roman"/>
      <w:b/>
      <w:bCs/>
      <w:kern w:val="36"/>
      <w:sz w:val="48"/>
      <w:szCs w:val="48"/>
      <w:lang w:eastAsia="pl-PL"/>
    </w:rPr>
  </w:style>
  <w:style w:type="character" w:styleId="Hipercze">
    <w:name w:val="Hyperlink"/>
    <w:basedOn w:val="Domylnaczcionkaakapitu"/>
    <w:uiPriority w:val="99"/>
    <w:unhideWhenUsed/>
    <w:rsid w:val="004071BA"/>
    <w:rPr>
      <w:color w:val="0000FF"/>
      <w:u w:val="single"/>
    </w:rPr>
  </w:style>
  <w:style w:type="paragraph" w:styleId="Akapitzlist">
    <w:name w:val="List Paragraph"/>
    <w:basedOn w:val="Normalny"/>
    <w:uiPriority w:val="34"/>
    <w:qFormat/>
    <w:rsid w:val="00E163D8"/>
    <w:pPr>
      <w:ind w:left="720"/>
      <w:contextualSpacing/>
    </w:pPr>
  </w:style>
  <w:style w:type="paragraph" w:customStyle="1" w:styleId="mb-3">
    <w:name w:val="mb-3"/>
    <w:basedOn w:val="Normalny"/>
    <w:rsid w:val="00FA277C"/>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pdauthorlist">
    <w:name w:val="pdauthorlist"/>
    <w:basedOn w:val="Domylnaczcionkaakapitu"/>
    <w:rsid w:val="00FA277C"/>
  </w:style>
  <w:style w:type="paragraph" w:styleId="Bezodstpw">
    <w:name w:val="No Spacing"/>
    <w:uiPriority w:val="1"/>
    <w:qFormat/>
    <w:rsid w:val="009647AF"/>
    <w:pPr>
      <w:spacing w:after="0" w:line="240" w:lineRule="auto"/>
    </w:pPr>
  </w:style>
  <w:style w:type="paragraph" w:customStyle="1" w:styleId="Default">
    <w:name w:val="Default"/>
    <w:rsid w:val="009647AF"/>
    <w:pPr>
      <w:autoSpaceDE w:val="0"/>
      <w:autoSpaceDN w:val="0"/>
      <w:adjustRightInd w:val="0"/>
      <w:spacing w:after="0" w:line="240" w:lineRule="auto"/>
    </w:pPr>
    <w:rPr>
      <w:rFonts w:ascii="Segoe UI" w:hAnsi="Segoe UI" w:cs="Segoe UI"/>
      <w:color w:val="000000"/>
      <w:sz w:val="24"/>
      <w:szCs w:val="24"/>
    </w:rPr>
  </w:style>
  <w:style w:type="paragraph" w:styleId="Nagwek">
    <w:name w:val="header"/>
    <w:basedOn w:val="Normalny"/>
    <w:link w:val="NagwekZnak"/>
    <w:uiPriority w:val="99"/>
    <w:unhideWhenUsed/>
    <w:rsid w:val="003C513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3C513B"/>
  </w:style>
  <w:style w:type="paragraph" w:styleId="Stopka">
    <w:name w:val="footer"/>
    <w:basedOn w:val="Normalny"/>
    <w:link w:val="StopkaZnak"/>
    <w:uiPriority w:val="99"/>
    <w:unhideWhenUsed/>
    <w:rsid w:val="003C513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3C513B"/>
  </w:style>
  <w:style w:type="paragraph" w:styleId="NormalnyWeb">
    <w:name w:val="Normal (Web)"/>
    <w:basedOn w:val="Normalny"/>
    <w:uiPriority w:val="99"/>
    <w:unhideWhenUsed/>
    <w:rsid w:val="00E147BD"/>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Tekstprzypisudolnego">
    <w:name w:val="footnote text"/>
    <w:basedOn w:val="Normalny"/>
    <w:link w:val="TekstprzypisudolnegoZnak"/>
    <w:uiPriority w:val="99"/>
    <w:semiHidden/>
    <w:unhideWhenUsed/>
    <w:rsid w:val="00E147BD"/>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E147BD"/>
    <w:rPr>
      <w:sz w:val="20"/>
      <w:szCs w:val="20"/>
    </w:rPr>
  </w:style>
  <w:style w:type="character" w:styleId="Odwoanieprzypisudolnego">
    <w:name w:val="footnote reference"/>
    <w:basedOn w:val="Domylnaczcionkaakapitu"/>
    <w:uiPriority w:val="99"/>
    <w:semiHidden/>
    <w:unhideWhenUsed/>
    <w:rsid w:val="00E147B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5852914">
      <w:bodyDiv w:val="1"/>
      <w:marLeft w:val="0"/>
      <w:marRight w:val="0"/>
      <w:marTop w:val="0"/>
      <w:marBottom w:val="0"/>
      <w:divBdr>
        <w:top w:val="none" w:sz="0" w:space="0" w:color="auto"/>
        <w:left w:val="none" w:sz="0" w:space="0" w:color="auto"/>
        <w:bottom w:val="none" w:sz="0" w:space="0" w:color="auto"/>
        <w:right w:val="none" w:sz="0" w:space="0" w:color="auto"/>
      </w:divBdr>
    </w:div>
    <w:div w:id="861743817">
      <w:bodyDiv w:val="1"/>
      <w:marLeft w:val="0"/>
      <w:marRight w:val="0"/>
      <w:marTop w:val="0"/>
      <w:marBottom w:val="0"/>
      <w:divBdr>
        <w:top w:val="none" w:sz="0" w:space="0" w:color="auto"/>
        <w:left w:val="none" w:sz="0" w:space="0" w:color="auto"/>
        <w:bottom w:val="none" w:sz="0" w:space="0" w:color="auto"/>
        <w:right w:val="none" w:sz="0" w:space="0" w:color="auto"/>
      </w:divBdr>
      <w:divsChild>
        <w:div w:id="195627057">
          <w:marLeft w:val="0"/>
          <w:marRight w:val="0"/>
          <w:marTop w:val="0"/>
          <w:marBottom w:val="0"/>
          <w:divBdr>
            <w:top w:val="none" w:sz="0" w:space="0" w:color="auto"/>
            <w:left w:val="none" w:sz="0" w:space="0" w:color="auto"/>
            <w:bottom w:val="none" w:sz="0" w:space="0" w:color="auto"/>
            <w:right w:val="none" w:sz="0" w:space="0" w:color="auto"/>
          </w:divBdr>
        </w:div>
      </w:divsChild>
    </w:div>
    <w:div w:id="987053071">
      <w:bodyDiv w:val="1"/>
      <w:marLeft w:val="0"/>
      <w:marRight w:val="0"/>
      <w:marTop w:val="0"/>
      <w:marBottom w:val="0"/>
      <w:divBdr>
        <w:top w:val="none" w:sz="0" w:space="0" w:color="auto"/>
        <w:left w:val="none" w:sz="0" w:space="0" w:color="auto"/>
        <w:bottom w:val="none" w:sz="0" w:space="0" w:color="auto"/>
        <w:right w:val="none" w:sz="0" w:space="0" w:color="auto"/>
      </w:divBdr>
      <w:divsChild>
        <w:div w:id="41516680">
          <w:marLeft w:val="0"/>
          <w:marRight w:val="0"/>
          <w:marTop w:val="0"/>
          <w:marBottom w:val="150"/>
          <w:divBdr>
            <w:top w:val="none" w:sz="0" w:space="0" w:color="auto"/>
            <w:left w:val="none" w:sz="0" w:space="0" w:color="auto"/>
            <w:bottom w:val="none" w:sz="0" w:space="0" w:color="auto"/>
            <w:right w:val="none" w:sz="0" w:space="0" w:color="auto"/>
          </w:divBdr>
        </w:div>
        <w:div w:id="1563520126">
          <w:marLeft w:val="0"/>
          <w:marRight w:val="0"/>
          <w:marTop w:val="0"/>
          <w:marBottom w:val="330"/>
          <w:divBdr>
            <w:top w:val="none" w:sz="0" w:space="0" w:color="auto"/>
            <w:left w:val="none" w:sz="0" w:space="0" w:color="auto"/>
            <w:bottom w:val="none" w:sz="0" w:space="0" w:color="auto"/>
            <w:right w:val="none" w:sz="0" w:space="0" w:color="auto"/>
          </w:divBdr>
        </w:div>
      </w:divsChild>
    </w:div>
    <w:div w:id="1538817290">
      <w:bodyDiv w:val="1"/>
      <w:marLeft w:val="0"/>
      <w:marRight w:val="0"/>
      <w:marTop w:val="0"/>
      <w:marBottom w:val="0"/>
      <w:divBdr>
        <w:top w:val="none" w:sz="0" w:space="0" w:color="auto"/>
        <w:left w:val="none" w:sz="0" w:space="0" w:color="auto"/>
        <w:bottom w:val="none" w:sz="0" w:space="0" w:color="auto"/>
        <w:right w:val="none" w:sz="0" w:space="0" w:color="auto"/>
      </w:divBdr>
    </w:div>
    <w:div w:id="1863350601">
      <w:bodyDiv w:val="1"/>
      <w:marLeft w:val="0"/>
      <w:marRight w:val="0"/>
      <w:marTop w:val="0"/>
      <w:marBottom w:val="0"/>
      <w:divBdr>
        <w:top w:val="none" w:sz="0" w:space="0" w:color="auto"/>
        <w:left w:val="none" w:sz="0" w:space="0" w:color="auto"/>
        <w:bottom w:val="none" w:sz="0" w:space="0" w:color="auto"/>
        <w:right w:val="none" w:sz="0" w:space="0" w:color="auto"/>
      </w:divBdr>
    </w:div>
    <w:div w:id="1947737954">
      <w:bodyDiv w:val="1"/>
      <w:marLeft w:val="0"/>
      <w:marRight w:val="0"/>
      <w:marTop w:val="0"/>
      <w:marBottom w:val="0"/>
      <w:divBdr>
        <w:top w:val="none" w:sz="0" w:space="0" w:color="auto"/>
        <w:left w:val="none" w:sz="0" w:space="0" w:color="auto"/>
        <w:bottom w:val="none" w:sz="0" w:space="0" w:color="auto"/>
        <w:right w:val="none" w:sz="0" w:space="0" w:color="auto"/>
      </w:divBdr>
    </w:div>
    <w:div w:id="1965429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numbering" Target="numbering.xml"/><Relationship Id="rId7" Type="http://schemas.openxmlformats.org/officeDocument/2006/relationships/footnotes" Target="footnote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717D99CA1058794A92DCB8D7B987F5F0" ma:contentTypeVersion="16" ma:contentTypeDescription="Utwórz nowy dokument." ma:contentTypeScope="" ma:versionID="ab56cb5faae9c3feb409c4578238dc33">
  <xsd:schema xmlns:xsd="http://www.w3.org/2001/XMLSchema" xmlns:xs="http://www.w3.org/2001/XMLSchema" xmlns:p="http://schemas.microsoft.com/office/2006/metadata/properties" xmlns:ns2="4e81d82d-ae07-4398-8985-e3b237c18d4f" xmlns:ns3="0debd9ba-df37-4ccf-b0b1-ab08a91e6a6a" targetNamespace="http://schemas.microsoft.com/office/2006/metadata/properties" ma:root="true" ma:fieldsID="f13b7340eec1bff03f5f68284f655c13" ns2:_="" ns3:_="">
    <xsd:import namespace="4e81d82d-ae07-4398-8985-e3b237c18d4f"/>
    <xsd:import namespace="0debd9ba-df37-4ccf-b0b1-ab08a91e6a6a"/>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ServiceDateTaken" minOccurs="0"/>
                <xsd:element ref="ns2:MediaLengthInSeconds" minOccurs="0"/>
                <xsd:element ref="ns2:MediaServiceAutoKeyPoints" minOccurs="0"/>
                <xsd:element ref="ns2:MediaServiceKeyPoints" minOccurs="0"/>
                <xsd:element ref="ns2:MediaServiceOCR"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e81d82d-ae07-4398-8985-e3b237c18d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Tagi obrazów" ma:readOnly="false" ma:fieldId="{5cf76f15-5ced-4ddc-b409-7134ff3c332f}" ma:taxonomyMulti="true" ma:sspId="9c3e9df2-cf36-4229-9548-94ab28f7a3dc"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debd9ba-df37-4ccf-b0b1-ab08a91e6a6a" elementFormDefault="qualified">
    <xsd:import namespace="http://schemas.microsoft.com/office/2006/documentManagement/types"/>
    <xsd:import namespace="http://schemas.microsoft.com/office/infopath/2007/PartnerControls"/>
    <xsd:element name="SharedWithUsers" ma:index="1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Udostępnione dla — szczegóły" ma:internalName="SharedWithDetails" ma:readOnly="true">
      <xsd:simpleType>
        <xsd:restriction base="dms:Note">
          <xsd:maxLength value="255"/>
        </xsd:restriction>
      </xsd:simpleType>
    </xsd:element>
    <xsd:element name="TaxCatchAll" ma:index="22" nillable="true" ma:displayName="Taxonomy Catch All Column" ma:hidden="true" ma:list="{d8860956-6a52-4bb4-86d4-0aea7bcfabf1}" ma:internalName="TaxCatchAll" ma:showField="CatchAllData" ma:web="0debd9ba-df37-4ccf-b0b1-ab08a91e6a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5637DCA-E694-477C-87F4-59320B32496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e81d82d-ae07-4398-8985-e3b237c18d4f"/>
    <ds:schemaRef ds:uri="0debd9ba-df37-4ccf-b0b1-ab08a91e6a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067C1A5-8F92-49FA-9465-253370FBB61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760</Words>
  <Characters>4562</Characters>
  <Application>Microsoft Office Word</Application>
  <DocSecurity>0</DocSecurity>
  <Lines>38</Lines>
  <Paragraphs>10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5312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Piotr Koj</dc:creator>
  <cp:keywords/>
  <dc:description/>
  <cp:lastModifiedBy>Dawid Trześniewski</cp:lastModifiedBy>
  <cp:revision>4</cp:revision>
  <dcterms:created xsi:type="dcterms:W3CDTF">2023-03-01T22:02:00Z</dcterms:created>
  <dcterms:modified xsi:type="dcterms:W3CDTF">2023-03-01T22:50:00Z</dcterms:modified>
</cp:coreProperties>
</file>