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73E10E" w14:textId="77777777" w:rsidR="00742AF8" w:rsidRPr="001E3DCC" w:rsidRDefault="00742AF8" w:rsidP="001E3DCC">
      <w:pPr>
        <w:spacing w:line="360" w:lineRule="auto"/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</w:pPr>
      <w:r w:rsidRPr="001E3DCC"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  <w:t>Edukacja transformacyjna - propozycje zmian w podejściu do kształcenia zawodowego młodzieży</w:t>
      </w:r>
    </w:p>
    <w:p w14:paraId="7A8DC128" w14:textId="77777777" w:rsidR="00742AF8" w:rsidRPr="001E3DCC" w:rsidRDefault="00742AF8" w:rsidP="001E3DCC">
      <w:pPr>
        <w:spacing w:line="360" w:lineRule="auto"/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</w:pPr>
      <w:r w:rsidRPr="001E3DCC"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  <w:t xml:space="preserve">Dr Andrzej Wojciech </w:t>
      </w:r>
      <w:proofErr w:type="spellStart"/>
      <w:r w:rsidRPr="001E3DCC"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  <w:t>Stępnikowski</w:t>
      </w:r>
      <w:proofErr w:type="spellEnd"/>
    </w:p>
    <w:p w14:paraId="2B380B07" w14:textId="77777777" w:rsidR="00742AF8" w:rsidRPr="001E3DCC" w:rsidRDefault="00742AF8" w:rsidP="001E3DCC">
      <w:pPr>
        <w:spacing w:line="360" w:lineRule="auto"/>
        <w:rPr>
          <w:rFonts w:ascii="Arial" w:hAnsi="Arial" w:cs="Arial"/>
          <w:b/>
          <w:sz w:val="24"/>
          <w:szCs w:val="24"/>
        </w:rPr>
      </w:pPr>
    </w:p>
    <w:p w14:paraId="200BC9D0" w14:textId="77777777" w:rsidR="00742AF8" w:rsidRPr="001E3DCC" w:rsidRDefault="00742AF8" w:rsidP="001E3DCC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1E3DCC">
        <w:rPr>
          <w:rFonts w:ascii="Arial" w:hAnsi="Arial" w:cs="Arial"/>
          <w:b/>
          <w:sz w:val="24"/>
          <w:szCs w:val="24"/>
        </w:rPr>
        <w:t>Wstęp</w:t>
      </w:r>
    </w:p>
    <w:p w14:paraId="7F49E1DD" w14:textId="77777777" w:rsidR="00742AF8" w:rsidRPr="001E3DCC" w:rsidRDefault="00742AF8" w:rsidP="001E3DCC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1E3DCC">
        <w:rPr>
          <w:rFonts w:ascii="Arial" w:hAnsi="Arial" w:cs="Arial"/>
          <w:sz w:val="24"/>
          <w:szCs w:val="24"/>
        </w:rPr>
        <w:t>Zmiany technologiczne  i organizacyjne narzucają zmiany w kontekstach pracy (</w:t>
      </w:r>
      <w:proofErr w:type="spellStart"/>
      <w:r w:rsidRPr="001E3DCC">
        <w:rPr>
          <w:rFonts w:ascii="Arial" w:hAnsi="Arial" w:cs="Arial"/>
          <w:sz w:val="24"/>
          <w:szCs w:val="24"/>
        </w:rPr>
        <w:t>Szlosek</w:t>
      </w:r>
      <w:proofErr w:type="spellEnd"/>
      <w:r w:rsidRPr="001E3DCC">
        <w:rPr>
          <w:rFonts w:ascii="Arial" w:hAnsi="Arial" w:cs="Arial"/>
          <w:sz w:val="24"/>
          <w:szCs w:val="24"/>
        </w:rPr>
        <w:t xml:space="preserve"> F. 2018), kolejnym „znakiem czasu” stają się wyzwania związane z ochroną środowiska sformułowane w postaci założeń Europejskiego Zielonego Ładu. Międzygeneracyjny przekaz kompetencji odbywający się w grupie społecznej zawodowców (z rzemiosła  i przemysłu) jest nieunikniony - także w kontekście celów przyszłych pokoleń. Przekaz ten realizowany jest zwłaszcza w miejscu pracy (Dewey J. 1916) oraz w drodze uczenia się transformacyjnego (</w:t>
      </w:r>
      <w:proofErr w:type="spellStart"/>
      <w:r w:rsidRPr="001E3DCC">
        <w:rPr>
          <w:rFonts w:ascii="Arial" w:hAnsi="Arial" w:cs="Arial"/>
          <w:sz w:val="24"/>
          <w:szCs w:val="24"/>
        </w:rPr>
        <w:t>Bianchi</w:t>
      </w:r>
      <w:proofErr w:type="spellEnd"/>
      <w:r w:rsidRPr="001E3DCC">
        <w:rPr>
          <w:rFonts w:ascii="Arial" w:hAnsi="Arial" w:cs="Arial"/>
          <w:sz w:val="24"/>
          <w:szCs w:val="24"/>
        </w:rPr>
        <w:t xml:space="preserve"> G. 2020) i polega  nie tylko na przekazywaniu twardych lub miękkich umiejętności ale „całej społecznej osobowości” (Znaniecki F. [w]: Wołoszyn S. 1998, s. 666) przyszłego fachowca. W kontekście kształcenia zawodowego w duchu zrównoważonego rozwoju polega ten proces na nabywaniu wiedzy, umiejętności postaw i wartości. Oczekuje się, że instruktorzy praktycznej nauki zawodu i nauczyciele przedmiotów zawodowych będą włączeni w realizację celów Agendy 2030, jako że publiczne szkoły zawodowe (w tym i branżowe) podlegają jednostkom samorządu terytorialnego (są ich organami prowadzącymi), a rezultaty badań OECD potwierdzają, że sukces wdrożenia zasad zrównoważonego rozwoju w dużej mierze zależy od regionów (OECD 2021, </w:t>
      </w:r>
      <w:proofErr w:type="spellStart"/>
      <w:r w:rsidRPr="001E3DCC">
        <w:rPr>
          <w:rFonts w:ascii="Arial" w:hAnsi="Arial" w:cs="Arial"/>
          <w:i/>
          <w:sz w:val="24"/>
          <w:szCs w:val="24"/>
        </w:rPr>
        <w:t>Diagnostic</w:t>
      </w:r>
      <w:proofErr w:type="spellEnd"/>
      <w:r w:rsidRPr="001E3DCC">
        <w:rPr>
          <w:rFonts w:ascii="Arial" w:hAnsi="Arial" w:cs="Arial"/>
          <w:i/>
          <w:sz w:val="24"/>
          <w:szCs w:val="24"/>
        </w:rPr>
        <w:t xml:space="preserve"> Report-Poland</w:t>
      </w:r>
      <w:r w:rsidRPr="001E3DCC">
        <w:rPr>
          <w:rFonts w:ascii="Arial" w:hAnsi="Arial" w:cs="Arial"/>
          <w:sz w:val="24"/>
          <w:szCs w:val="24"/>
        </w:rPr>
        <w:t xml:space="preserve">, s. 32). Jeśli chcemy więc realnie i skutecznie wdrażać zasady SDG (ang. </w:t>
      </w:r>
      <w:proofErr w:type="spellStart"/>
      <w:r w:rsidRPr="001E3DCC">
        <w:rPr>
          <w:rFonts w:ascii="Arial" w:hAnsi="Arial" w:cs="Arial"/>
          <w:sz w:val="24"/>
          <w:szCs w:val="24"/>
        </w:rPr>
        <w:t>Sustainable</w:t>
      </w:r>
      <w:proofErr w:type="spellEnd"/>
      <w:r w:rsidRPr="001E3DCC">
        <w:rPr>
          <w:rFonts w:ascii="Arial" w:hAnsi="Arial" w:cs="Arial"/>
          <w:sz w:val="24"/>
          <w:szCs w:val="24"/>
        </w:rPr>
        <w:t xml:space="preserve"> Development </w:t>
      </w:r>
      <w:proofErr w:type="spellStart"/>
      <w:r w:rsidRPr="001E3DCC">
        <w:rPr>
          <w:rFonts w:ascii="Arial" w:hAnsi="Arial" w:cs="Arial"/>
          <w:sz w:val="24"/>
          <w:szCs w:val="24"/>
        </w:rPr>
        <w:t>Goals</w:t>
      </w:r>
      <w:proofErr w:type="spellEnd"/>
      <w:r w:rsidRPr="001E3DCC">
        <w:rPr>
          <w:rFonts w:ascii="Arial" w:hAnsi="Arial" w:cs="Arial"/>
          <w:sz w:val="24"/>
          <w:szCs w:val="24"/>
        </w:rPr>
        <w:t xml:space="preserve">) to musimy w tej wizji rozwoju uwzględnić zarówno obecnych, jak i przyszłych nauczycieli i instruktorów – proces ten będzie bowiem długotrwały i nie skończy się na jednym pokoleniu. Proces ten w jak największym stopniu powinien objąć też szkolnictwo niepubliczne i edukację </w:t>
      </w:r>
      <w:proofErr w:type="spellStart"/>
      <w:r w:rsidRPr="001E3DCC">
        <w:rPr>
          <w:rFonts w:ascii="Arial" w:hAnsi="Arial" w:cs="Arial"/>
          <w:sz w:val="24"/>
          <w:szCs w:val="24"/>
        </w:rPr>
        <w:t>pozaformalną</w:t>
      </w:r>
      <w:proofErr w:type="spellEnd"/>
      <w:r w:rsidRPr="001E3DCC">
        <w:rPr>
          <w:rFonts w:ascii="Arial" w:hAnsi="Arial" w:cs="Arial"/>
          <w:sz w:val="24"/>
          <w:szCs w:val="24"/>
        </w:rPr>
        <w:t>, a szczególnie zakłady pracy.</w:t>
      </w:r>
    </w:p>
    <w:p w14:paraId="506AC90E" w14:textId="77777777" w:rsidR="00742AF8" w:rsidRPr="001E3DCC" w:rsidRDefault="00742AF8" w:rsidP="001E3DCC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14:paraId="2BAFFBF9" w14:textId="77777777" w:rsidR="00742AF8" w:rsidRPr="001E3DCC" w:rsidRDefault="00742AF8" w:rsidP="001E3DCC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1E3DCC">
        <w:rPr>
          <w:rFonts w:ascii="Arial" w:hAnsi="Arial" w:cs="Arial"/>
          <w:b/>
          <w:sz w:val="24"/>
          <w:szCs w:val="24"/>
        </w:rPr>
        <w:t>Cele kształcenia zawodowego</w:t>
      </w:r>
    </w:p>
    <w:p w14:paraId="196249CA" w14:textId="77777777" w:rsidR="00742AF8" w:rsidRPr="001E3DCC" w:rsidRDefault="00742AF8" w:rsidP="001E3DCC">
      <w:pPr>
        <w:spacing w:after="0" w:line="360" w:lineRule="auto"/>
        <w:rPr>
          <w:rFonts w:ascii="Arial" w:hAnsi="Arial" w:cs="Arial"/>
          <w:bCs/>
          <w:color w:val="1B1B1B"/>
          <w:sz w:val="24"/>
          <w:szCs w:val="24"/>
          <w:shd w:val="clear" w:color="auto" w:fill="FFFFFF"/>
        </w:rPr>
      </w:pPr>
      <w:r w:rsidRPr="001E3DCC">
        <w:rPr>
          <w:rFonts w:ascii="Arial" w:hAnsi="Arial" w:cs="Arial"/>
          <w:bCs/>
          <w:color w:val="1B1B1B"/>
          <w:sz w:val="24"/>
          <w:szCs w:val="24"/>
          <w:shd w:val="clear" w:color="auto" w:fill="FFFFFF"/>
        </w:rPr>
        <w:lastRenderedPageBreak/>
        <w:t xml:space="preserve">Już od przedszkola dzieci uczą się o ochronie środowiska. W szkole na różnych zajęciach edukacyjnych uczniowie poznają zagadnienia dotyczące zmian klimatu, ochrony środowiska, oszczędzania zasobów, tj. energii, wody, surowców naturalnych, segregowania i wtórnego wykorzystywania odpadów. Podkreślając rangę tematu, jakim jest edukacja ekologiczna, </w:t>
      </w:r>
      <w:proofErr w:type="spellStart"/>
      <w:r w:rsidRPr="001E3DCC">
        <w:rPr>
          <w:rFonts w:ascii="Arial" w:hAnsi="Arial" w:cs="Arial"/>
          <w:bCs/>
          <w:color w:val="1B1B1B"/>
          <w:sz w:val="24"/>
          <w:szCs w:val="24"/>
          <w:shd w:val="clear" w:color="auto" w:fill="FFFFFF"/>
        </w:rPr>
        <w:t>MEiN</w:t>
      </w:r>
      <w:proofErr w:type="spellEnd"/>
      <w:r w:rsidRPr="001E3DCC">
        <w:rPr>
          <w:rFonts w:ascii="Arial" w:hAnsi="Arial" w:cs="Arial"/>
          <w:bCs/>
          <w:color w:val="1B1B1B"/>
          <w:sz w:val="24"/>
          <w:szCs w:val="24"/>
          <w:shd w:val="clear" w:color="auto" w:fill="FFFFFF"/>
        </w:rPr>
        <w:t xml:space="preserve"> wprowadziło przepis, który od 1 września 2020 r. zobowiązuje nauczycieli, aby na zajęciach z wychowawcą omawiali z uczniami najistotniejsze problemy ochrony środowiska i klimatu. Edukacja ekologiczna jest więc dostrzegana jako wyzwanie, wydaje się jednak, że nawet poświęcenie lekcji wychowawczych, na tak ważny temat jest dalece niewystarczające bowiem w przypadku kształcenia zawodowego zagadnienia ekologii wkraczają dalece w materię wykonywanego zawodu wchodząc w obszar materiałoznawstwa, technologii i kalkulacji wykonywanych usług, produktów, a więc i szerzej rzecz biorąc, ekonomiki przedsiębiorstw. Aby efektywnie kształcić nie wystarczy wstawić zapis do podstawy programowej, czy zadekretować tematy do zajęć wychowawczych, ale trzeba kształcić takie postawy w praktyce, najlepiej przez dawanie dobrego przykładu osobistego przez mistrzów i nauczycieli. Warto też w tych kontekstach uczenia się i nauczania eksperymentować, i do tego - między innymi - zachęca edukacja transformacyjna.</w:t>
      </w:r>
    </w:p>
    <w:p w14:paraId="6AB5850D" w14:textId="77777777" w:rsidR="00742AF8" w:rsidRPr="001E3DCC" w:rsidRDefault="00742AF8" w:rsidP="001E3DCC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50BE262E" w14:textId="77777777" w:rsidR="00742AF8" w:rsidRPr="001E3DCC" w:rsidRDefault="00742AF8" w:rsidP="001E3DCC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1E3DCC">
        <w:rPr>
          <w:rFonts w:ascii="Arial" w:hAnsi="Arial" w:cs="Arial"/>
          <w:sz w:val="24"/>
          <w:szCs w:val="24"/>
        </w:rPr>
        <w:t xml:space="preserve">Główną funkcją kształcenia jest zmiana, chodzi bowiem o kształtowanie gotowości i zdolności do robienia czegoś, co chcemy lub musimy zrobić. Chodzi o bycie kompetentnym, co oznacza posiadanie odpowiednich kompetencji (związanych z wiedzą i umiejętnościami, które umożliwiają posiadanie kompetencji). Istnieje kilka dobrze znanych taksonomii ocen efektów uczenia się, takich jak: taksonomia B. </w:t>
      </w:r>
      <w:proofErr w:type="spellStart"/>
      <w:r w:rsidRPr="001E3DCC">
        <w:rPr>
          <w:rFonts w:ascii="Arial" w:hAnsi="Arial" w:cs="Arial"/>
          <w:sz w:val="24"/>
          <w:szCs w:val="24"/>
        </w:rPr>
        <w:t>Blooma</w:t>
      </w:r>
      <w:proofErr w:type="spellEnd"/>
      <w:r w:rsidRPr="001E3DCC">
        <w:rPr>
          <w:rFonts w:ascii="Arial" w:hAnsi="Arial" w:cs="Arial"/>
          <w:sz w:val="24"/>
          <w:szCs w:val="24"/>
        </w:rPr>
        <w:t xml:space="preserve">, czy B. </w:t>
      </w:r>
      <w:proofErr w:type="spellStart"/>
      <w:r w:rsidRPr="001E3DCC">
        <w:rPr>
          <w:rFonts w:ascii="Arial" w:hAnsi="Arial" w:cs="Arial"/>
          <w:sz w:val="24"/>
          <w:szCs w:val="24"/>
        </w:rPr>
        <w:t>Niemierki</w:t>
      </w:r>
      <w:proofErr w:type="spellEnd"/>
      <w:r w:rsidRPr="001E3DCC">
        <w:rPr>
          <w:rFonts w:ascii="Arial" w:hAnsi="Arial" w:cs="Arial"/>
          <w:sz w:val="24"/>
          <w:szCs w:val="24"/>
        </w:rPr>
        <w:t>, które mogą być tu użyteczne.</w:t>
      </w:r>
    </w:p>
    <w:p w14:paraId="29CB801D" w14:textId="77777777" w:rsidR="00742AF8" w:rsidRPr="001E3DCC" w:rsidRDefault="00742AF8" w:rsidP="001E3DC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</w:p>
    <w:p w14:paraId="7EFEA45C" w14:textId="77777777" w:rsidR="00742AF8" w:rsidRPr="001E3DCC" w:rsidRDefault="00742AF8" w:rsidP="001E3DC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1E3DCC">
        <w:rPr>
          <w:rFonts w:ascii="Arial" w:hAnsi="Arial" w:cs="Arial"/>
          <w:sz w:val="24"/>
          <w:szCs w:val="24"/>
        </w:rPr>
        <w:t>Warto pamiętać, że uczenie się w oparciu o kompetencje (</w:t>
      </w:r>
      <w:proofErr w:type="spellStart"/>
      <w:r w:rsidRPr="001E3DCC">
        <w:rPr>
          <w:rFonts w:ascii="Arial" w:hAnsi="Arial" w:cs="Arial"/>
          <w:i/>
          <w:iCs/>
          <w:sz w:val="24"/>
          <w:szCs w:val="24"/>
        </w:rPr>
        <w:t>Competence-based</w:t>
      </w:r>
      <w:proofErr w:type="spellEnd"/>
      <w:r w:rsidRPr="001E3DCC">
        <w:rPr>
          <w:rFonts w:ascii="Arial" w:hAnsi="Arial" w:cs="Arial"/>
          <w:i/>
          <w:iCs/>
          <w:sz w:val="24"/>
          <w:szCs w:val="24"/>
        </w:rPr>
        <w:t xml:space="preserve"> Learning</w:t>
      </w:r>
      <w:r w:rsidRPr="001E3DCC">
        <w:rPr>
          <w:rFonts w:ascii="Arial" w:hAnsi="Arial" w:cs="Arial"/>
          <w:sz w:val="24"/>
          <w:szCs w:val="24"/>
        </w:rPr>
        <w:t xml:space="preserve">) jest obecnie bardzo popularne, zwłaszcza, że kompetencje opisywane są za pomocą: złożoności (obejmują różne elementy, takie jak wiedza, motywacja, postawy), operatywności, zmienności i mierzalności. Kompetencje mogą się zmieniać, być stopniowane (poziomami sprawności i biegłości), a także rozwijane. Obecnie podstawą zarządzania zasobami ludzkimi (ZZL) są modele lub profile </w:t>
      </w:r>
      <w:r w:rsidRPr="001E3DCC">
        <w:rPr>
          <w:rFonts w:ascii="Arial" w:hAnsi="Arial" w:cs="Arial"/>
          <w:sz w:val="24"/>
          <w:szCs w:val="24"/>
        </w:rPr>
        <w:lastRenderedPageBreak/>
        <w:t xml:space="preserve">kompetencyjne, które są tworzy się jako zbiór wszystkich kompetencji potrzebnych pracownikom danej organizacji, pogrupowanych pod kątem odpowiednich profili dla określonych stanowisk lub ról (takich jak np.: nauczyciele i instruktorzy praktycznej nauki zawodu). </w:t>
      </w:r>
    </w:p>
    <w:p w14:paraId="09F456BC" w14:textId="77777777" w:rsidR="00742AF8" w:rsidRPr="001E3DCC" w:rsidRDefault="00742AF8" w:rsidP="001E3DCC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</w:p>
    <w:p w14:paraId="7DB020C4" w14:textId="77777777" w:rsidR="00742AF8" w:rsidRPr="001E3DCC" w:rsidRDefault="00742AF8" w:rsidP="001E3DC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1E3DCC">
        <w:rPr>
          <w:rFonts w:ascii="Arial" w:hAnsi="Arial" w:cs="Arial"/>
          <w:b/>
          <w:sz w:val="24"/>
          <w:szCs w:val="24"/>
        </w:rPr>
        <w:t>Edukacja transformacyjna</w:t>
      </w:r>
    </w:p>
    <w:p w14:paraId="68E6016D" w14:textId="77777777" w:rsidR="00742AF8" w:rsidRPr="001E3DCC" w:rsidRDefault="00742AF8" w:rsidP="001E3DC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1E3DCC">
        <w:rPr>
          <w:rFonts w:ascii="Arial" w:hAnsi="Arial" w:cs="Arial"/>
          <w:sz w:val="24"/>
          <w:szCs w:val="24"/>
        </w:rPr>
        <w:t xml:space="preserve">Metody kształcenia dotyczą w dużym stopniu przekazywania uczestnikom treści programów oraz odpowiednich materiałów dydaktycznych. Konieczność stosowania metod aktywnych, a nie tylko tradycyjnych, wynika z celów edukacyjnych zawartych w podstawie programowej kształcenia zawodowego (opisanych w postaci efektów uczenia się). W przyszłości metody kształcenia uczniów, młodocianych pracowników oraz przyszłych nauczycieli i instruktorów powinny być dobierane z uwzględnieniem założeń transformacyjnego uczenia się – preferowanej formy w pozyskiwaniu kompetencji w zakresie zrównoważonego rozwoju. Przyszli nauczyciele i instruktorzy zajmujący się praktyczną nauką zawodu (w samych zakładach rzemieślniczych jest ich ponad 25.000)  powinni być w stanie rozwiązywać różnorodne problemy, wykazywać się pro-aktywną postawą i inicjatywą, zdecydowaniem oraz komunikatywnością. Efektywność poszczególnych metod szkoleniowych różni się (Tabela 1) i powinno być to wzięte pod uwagę podczas projektowania programu ich kształcenia (także w toku 48-godzinnego kursu pedagogicznego dla instruktorów praktycznej nauki zawodu), materiałów szkoleniowych i myślenia o organizacji procesu. Warto przy tej okazji ponownie przyjrzeć się Stożkowi Doświadczeń </w:t>
      </w:r>
      <w:proofErr w:type="spellStart"/>
      <w:r w:rsidRPr="001E3DCC">
        <w:rPr>
          <w:rFonts w:ascii="Arial" w:hAnsi="Arial" w:cs="Arial"/>
          <w:sz w:val="24"/>
          <w:szCs w:val="24"/>
        </w:rPr>
        <w:t>Dale’a</w:t>
      </w:r>
      <w:proofErr w:type="spellEnd"/>
      <w:r w:rsidRPr="001E3DCC">
        <w:rPr>
          <w:rFonts w:ascii="Arial" w:hAnsi="Arial" w:cs="Arial"/>
          <w:sz w:val="24"/>
          <w:szCs w:val="24"/>
        </w:rPr>
        <w:t xml:space="preserve"> pokazującemu zarówno mniej efektywne i pasywne metody jak np.: wykład (5%), czytanie (10%), pokaz (30%) oraz bardziej efektywne metody jak np.: praca w małych grupach (50%), prace eksperymentalne i uczenie się przez wykonywanie (ang. </w:t>
      </w:r>
      <w:proofErr w:type="spellStart"/>
      <w:r w:rsidRPr="001E3DCC">
        <w:rPr>
          <w:rFonts w:ascii="Arial" w:hAnsi="Arial" w:cs="Arial"/>
          <w:i/>
          <w:iCs/>
          <w:sz w:val="24"/>
          <w:szCs w:val="24"/>
        </w:rPr>
        <w:t>experimental</w:t>
      </w:r>
      <w:proofErr w:type="spellEnd"/>
      <w:r w:rsidRPr="001E3DCC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Pr="001E3DCC">
        <w:rPr>
          <w:rFonts w:ascii="Arial" w:hAnsi="Arial" w:cs="Arial"/>
          <w:i/>
          <w:iCs/>
          <w:sz w:val="24"/>
          <w:szCs w:val="24"/>
        </w:rPr>
        <w:t>works</w:t>
      </w:r>
      <w:proofErr w:type="spellEnd"/>
      <w:r w:rsidRPr="001E3DCC">
        <w:rPr>
          <w:rFonts w:ascii="Arial" w:hAnsi="Arial" w:cs="Arial"/>
          <w:i/>
          <w:iCs/>
          <w:sz w:val="24"/>
          <w:szCs w:val="24"/>
        </w:rPr>
        <w:t xml:space="preserve"> and learning by </w:t>
      </w:r>
      <w:proofErr w:type="spellStart"/>
      <w:r w:rsidRPr="001E3DCC">
        <w:rPr>
          <w:rFonts w:ascii="Arial" w:hAnsi="Arial" w:cs="Arial"/>
          <w:i/>
          <w:iCs/>
          <w:sz w:val="24"/>
          <w:szCs w:val="24"/>
        </w:rPr>
        <w:t>doing</w:t>
      </w:r>
      <w:proofErr w:type="spellEnd"/>
      <w:r w:rsidRPr="001E3DCC">
        <w:rPr>
          <w:rFonts w:ascii="Arial" w:hAnsi="Arial" w:cs="Arial"/>
          <w:sz w:val="24"/>
          <w:szCs w:val="24"/>
        </w:rPr>
        <w:t xml:space="preserve">) wykazuje 75%, studia przypadku, metody projektowe realizowane we współpracy z innymi oraz nauczanie/szkolenie innych mogą dostarczyć skuteczności (mierzonej retencją uczenia się) na poziomie nawet 90%. Najskuteczniejsze metody to te, które dają możliwość zapamiętywania i utrwalania wiedzy, umiejętności i kompetencji (a więc zapobiegają zapominaniu). </w:t>
      </w:r>
    </w:p>
    <w:p w14:paraId="5AD1A71C" w14:textId="77777777" w:rsidR="00742AF8" w:rsidRPr="001E3DCC" w:rsidRDefault="00742AF8" w:rsidP="001E3DCC">
      <w:pPr>
        <w:spacing w:line="360" w:lineRule="auto"/>
        <w:ind w:firstLine="348"/>
        <w:rPr>
          <w:rFonts w:ascii="Arial" w:hAnsi="Arial" w:cs="Arial"/>
          <w:sz w:val="24"/>
          <w:szCs w:val="24"/>
        </w:rPr>
      </w:pPr>
      <w:r w:rsidRPr="001E3DCC">
        <w:rPr>
          <w:rFonts w:ascii="Arial" w:hAnsi="Arial" w:cs="Arial"/>
          <w:sz w:val="24"/>
          <w:szCs w:val="24"/>
        </w:rPr>
        <w:t xml:space="preserve">Wiemy już dlaczego pojawiły się założenia edukacji transformacyjnej, pytanie kto i kiedy „wpadł na taki pomysł” … otóż podwaliny teorii uczenia się transformacyjnego </w:t>
      </w:r>
      <w:r w:rsidRPr="001E3DCC">
        <w:rPr>
          <w:rFonts w:ascii="Arial" w:hAnsi="Arial" w:cs="Arial"/>
          <w:sz w:val="24"/>
          <w:szCs w:val="24"/>
        </w:rPr>
        <w:lastRenderedPageBreak/>
        <w:t xml:space="preserve">stworzył prof. Jack </w:t>
      </w:r>
      <w:proofErr w:type="spellStart"/>
      <w:r w:rsidRPr="001E3DCC">
        <w:rPr>
          <w:rFonts w:ascii="Arial" w:hAnsi="Arial" w:cs="Arial"/>
          <w:sz w:val="24"/>
          <w:szCs w:val="24"/>
        </w:rPr>
        <w:t>Mezirow</w:t>
      </w:r>
      <w:proofErr w:type="spellEnd"/>
      <w:r w:rsidRPr="001E3DCC">
        <w:rPr>
          <w:rFonts w:ascii="Arial" w:hAnsi="Arial" w:cs="Arial"/>
          <w:sz w:val="24"/>
          <w:szCs w:val="24"/>
        </w:rPr>
        <w:t xml:space="preserve">  z Uniwersytetu w Oklahomie już w 2009 roku. W toku analiz i obserwacji, uznał on iż głównym celem kształcenia jest zmiana postaw poprzez krytyczne myślenie, nawiązywanie nowych relacji i działania z nowymi perspektywami. Takie podejście do edukacji postrzegane jest jako bardzo skuteczne w zakresie zrównoważonego rozwoju umożliwiając „stawanie się krytycznie samo-świadomymi milczącego doświadczania i oceny możliwości interpretowania świata (…) poprzez refleksję i zadawanie pytań". Wskutek takiej pogłębionej, wielostronnej refleksji dokonuje się w nas bowiem pewna „transformacja” wewnętrzna, której efekty widoczne są następnie w naszych postawach i zachowaniu.</w:t>
      </w:r>
    </w:p>
    <w:p w14:paraId="3804C852" w14:textId="77777777" w:rsidR="00742AF8" w:rsidRPr="001E3DCC" w:rsidRDefault="00742AF8" w:rsidP="001E3DCC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</w:p>
    <w:p w14:paraId="6EDC0402" w14:textId="666FEA7E" w:rsidR="00BC3A65" w:rsidRPr="001E3DCC" w:rsidRDefault="00BC3A65" w:rsidP="001E3DCC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1E3DCC" w:rsidSect="004561EB">
      <w:headerReference w:type="default" r:id="rId9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5CEF68" w14:textId="77777777" w:rsidR="0059175F" w:rsidRDefault="0059175F" w:rsidP="003C513B">
      <w:pPr>
        <w:spacing w:after="0" w:line="240" w:lineRule="auto"/>
      </w:pPr>
      <w:r>
        <w:separator/>
      </w:r>
    </w:p>
  </w:endnote>
  <w:endnote w:type="continuationSeparator" w:id="0">
    <w:p w14:paraId="00F62418" w14:textId="77777777" w:rsidR="0059175F" w:rsidRDefault="0059175F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E9FD1D" w14:textId="77777777" w:rsidR="0059175F" w:rsidRDefault="0059175F" w:rsidP="003C513B">
      <w:pPr>
        <w:spacing w:after="0" w:line="240" w:lineRule="auto"/>
      </w:pPr>
      <w:r>
        <w:separator/>
      </w:r>
    </w:p>
  </w:footnote>
  <w:footnote w:type="continuationSeparator" w:id="0">
    <w:p w14:paraId="0AFF26C9" w14:textId="77777777" w:rsidR="0059175F" w:rsidRDefault="0059175F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13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7904674">
    <w:abstractNumId w:val="2"/>
  </w:num>
  <w:num w:numId="2" w16cid:durableId="696547362">
    <w:abstractNumId w:val="15"/>
  </w:num>
  <w:num w:numId="3" w16cid:durableId="1869222873">
    <w:abstractNumId w:val="21"/>
  </w:num>
  <w:num w:numId="4" w16cid:durableId="765223711">
    <w:abstractNumId w:val="16"/>
  </w:num>
  <w:num w:numId="5" w16cid:durableId="1859393560">
    <w:abstractNumId w:val="18"/>
  </w:num>
  <w:num w:numId="6" w16cid:durableId="12462334">
    <w:abstractNumId w:val="5"/>
  </w:num>
  <w:num w:numId="7" w16cid:durableId="1699433921">
    <w:abstractNumId w:val="17"/>
  </w:num>
  <w:num w:numId="8" w16cid:durableId="579145953">
    <w:abstractNumId w:val="10"/>
  </w:num>
  <w:num w:numId="9" w16cid:durableId="457845199">
    <w:abstractNumId w:val="0"/>
  </w:num>
  <w:num w:numId="10" w16cid:durableId="614871375">
    <w:abstractNumId w:val="22"/>
  </w:num>
  <w:num w:numId="11" w16cid:durableId="1477379881">
    <w:abstractNumId w:val="4"/>
  </w:num>
  <w:num w:numId="12" w16cid:durableId="806119431">
    <w:abstractNumId w:val="13"/>
  </w:num>
  <w:num w:numId="13" w16cid:durableId="577253963">
    <w:abstractNumId w:val="14"/>
  </w:num>
  <w:num w:numId="14" w16cid:durableId="42218609">
    <w:abstractNumId w:val="11"/>
  </w:num>
  <w:num w:numId="15" w16cid:durableId="220100898">
    <w:abstractNumId w:val="20"/>
  </w:num>
  <w:num w:numId="16" w16cid:durableId="1293637815">
    <w:abstractNumId w:val="6"/>
  </w:num>
  <w:num w:numId="17" w16cid:durableId="461732615">
    <w:abstractNumId w:val="1"/>
  </w:num>
  <w:num w:numId="18" w16cid:durableId="311907466">
    <w:abstractNumId w:val="8"/>
  </w:num>
  <w:num w:numId="19" w16cid:durableId="1636064392">
    <w:abstractNumId w:val="23"/>
  </w:num>
  <w:num w:numId="20" w16cid:durableId="982734635">
    <w:abstractNumId w:val="9"/>
  </w:num>
  <w:num w:numId="21" w16cid:durableId="814877182">
    <w:abstractNumId w:val="7"/>
  </w:num>
  <w:num w:numId="22" w16cid:durableId="1296837055">
    <w:abstractNumId w:val="3"/>
  </w:num>
  <w:num w:numId="23" w16cid:durableId="17434870">
    <w:abstractNumId w:val="19"/>
  </w:num>
  <w:num w:numId="24" w16cid:durableId="163167128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26DB7"/>
    <w:rsid w:val="000278C2"/>
    <w:rsid w:val="00057197"/>
    <w:rsid w:val="000604B3"/>
    <w:rsid w:val="000813C3"/>
    <w:rsid w:val="000817FF"/>
    <w:rsid w:val="000A7934"/>
    <w:rsid w:val="000E2620"/>
    <w:rsid w:val="000F4038"/>
    <w:rsid w:val="000F4DCC"/>
    <w:rsid w:val="00110C56"/>
    <w:rsid w:val="001C7283"/>
    <w:rsid w:val="001E3DCC"/>
    <w:rsid w:val="002C2DDA"/>
    <w:rsid w:val="002C7986"/>
    <w:rsid w:val="002E7A96"/>
    <w:rsid w:val="00335A75"/>
    <w:rsid w:val="003541D2"/>
    <w:rsid w:val="00380DC2"/>
    <w:rsid w:val="00395D4F"/>
    <w:rsid w:val="003C513B"/>
    <w:rsid w:val="003D77C6"/>
    <w:rsid w:val="004071BA"/>
    <w:rsid w:val="0041227E"/>
    <w:rsid w:val="004561EB"/>
    <w:rsid w:val="0052608F"/>
    <w:rsid w:val="00537297"/>
    <w:rsid w:val="0059175F"/>
    <w:rsid w:val="005D1F59"/>
    <w:rsid w:val="0065370D"/>
    <w:rsid w:val="00682EA8"/>
    <w:rsid w:val="00701A65"/>
    <w:rsid w:val="0072221C"/>
    <w:rsid w:val="00742AF8"/>
    <w:rsid w:val="007B3034"/>
    <w:rsid w:val="007C6FC4"/>
    <w:rsid w:val="0086458A"/>
    <w:rsid w:val="008E4DF2"/>
    <w:rsid w:val="008F448A"/>
    <w:rsid w:val="009647AF"/>
    <w:rsid w:val="00975F04"/>
    <w:rsid w:val="009953D6"/>
    <w:rsid w:val="00A522DA"/>
    <w:rsid w:val="00A73202"/>
    <w:rsid w:val="00AD6FD9"/>
    <w:rsid w:val="00B45507"/>
    <w:rsid w:val="00BC3A65"/>
    <w:rsid w:val="00BF196C"/>
    <w:rsid w:val="00C05B1A"/>
    <w:rsid w:val="00C10415"/>
    <w:rsid w:val="00D6339D"/>
    <w:rsid w:val="00DD3FE2"/>
    <w:rsid w:val="00E01A8E"/>
    <w:rsid w:val="00E027B1"/>
    <w:rsid w:val="00E147BD"/>
    <w:rsid w:val="00E163D8"/>
    <w:rsid w:val="00EB054A"/>
    <w:rsid w:val="00EF4C88"/>
    <w:rsid w:val="00EF5A6D"/>
    <w:rsid w:val="00F248D1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33937E4-E1B0-4C83-8272-52E490730B1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D426B13-6053-4130-B4BA-9531F676A56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1019</Words>
  <Characters>6119</Characters>
  <Application>Microsoft Office Word</Application>
  <DocSecurity>0</DocSecurity>
  <Lines>50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2023-03-01T22:12:00Z</dcterms:created>
  <dcterms:modified xsi:type="dcterms:W3CDTF">2023-03-01T22:46:00Z</dcterms:modified>
</cp:coreProperties>
</file>