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D0DAE7" w14:textId="77777777" w:rsidR="00C05B1A" w:rsidRPr="0041200B" w:rsidRDefault="00C05B1A" w:rsidP="0041200B">
      <w:pPr>
        <w:spacing w:line="360" w:lineRule="auto"/>
        <w:rPr>
          <w:rFonts w:ascii="Arial" w:eastAsia="Times New Roman" w:hAnsi="Arial" w:cs="Arial"/>
          <w:b/>
          <w:color w:val="222222"/>
          <w:sz w:val="24"/>
          <w:szCs w:val="24"/>
          <w:lang w:eastAsia="pl-PL"/>
        </w:rPr>
      </w:pPr>
      <w:r w:rsidRPr="0041200B">
        <w:rPr>
          <w:rFonts w:ascii="Arial" w:eastAsia="Times New Roman" w:hAnsi="Arial" w:cs="Arial"/>
          <w:b/>
          <w:color w:val="222222"/>
          <w:sz w:val="24"/>
          <w:szCs w:val="24"/>
          <w:lang w:eastAsia="pl-PL"/>
        </w:rPr>
        <w:t>Edukacja ekologiczna a budowanie świadomości uczniów szkół zawodowych – część 1</w:t>
      </w:r>
    </w:p>
    <w:p w14:paraId="386A754F" w14:textId="77777777" w:rsidR="00C05B1A" w:rsidRPr="0041200B" w:rsidRDefault="00C05B1A" w:rsidP="0041200B">
      <w:pPr>
        <w:spacing w:line="360" w:lineRule="auto"/>
        <w:rPr>
          <w:rFonts w:ascii="Arial" w:hAnsi="Arial" w:cs="Arial"/>
          <w:b/>
          <w:sz w:val="24"/>
          <w:szCs w:val="24"/>
        </w:rPr>
      </w:pPr>
      <w:r w:rsidRPr="0041200B">
        <w:rPr>
          <w:rFonts w:ascii="Arial" w:hAnsi="Arial" w:cs="Arial"/>
          <w:b/>
          <w:sz w:val="24"/>
          <w:szCs w:val="24"/>
        </w:rPr>
        <w:t>Wstęp</w:t>
      </w:r>
    </w:p>
    <w:p w14:paraId="672323AD" w14:textId="77777777" w:rsidR="00C05B1A" w:rsidRPr="0041200B" w:rsidRDefault="00C05B1A" w:rsidP="0041200B">
      <w:pPr>
        <w:spacing w:line="360" w:lineRule="auto"/>
        <w:rPr>
          <w:rFonts w:ascii="Arial" w:hAnsi="Arial" w:cs="Arial"/>
          <w:sz w:val="24"/>
          <w:szCs w:val="24"/>
        </w:rPr>
      </w:pPr>
      <w:r w:rsidRPr="0041200B">
        <w:rPr>
          <w:rFonts w:ascii="Arial" w:hAnsi="Arial" w:cs="Arial"/>
          <w:sz w:val="24"/>
          <w:szCs w:val="24"/>
        </w:rPr>
        <w:t xml:space="preserve">Według prof. Wincentego Okonia - nestora polskiej pedagogiki, edukacja to ogół procesów, których celem jest zmienianie ludzi, przede wszystkim dzieci i młodzieży - stosownie do panujących w danym społeczeństwie ideałów i celów wychowawczych (kształcenie jest działaniem celowym). Obecnie edukację traktuje się jako ogół procesów oświatowo-wychowawczych, obejmujących kształcenie i wychowanie oraz szeroko pojmowaną oświatę. Zdaniem W. Okonia kształcenie to ogół czynności umożliwiających ludziom poznawanie przyrody, społeczeństwa i kultury oraz udział w ich kształtowaniu, a zarazem osiągnięcie możliwie wszechstronnego rozwoju sprawności, zdolności i uzdolnień, zainteresowań i zamiłowań, przekonań i postaw, jak również nabycie pożądanych kwalifikacji zawodowych. Termin „edukacja o środowisku” pojawił się w latach 60. I mówił o edukacji służącej rozwijaniu świadomości oraz postaw człowieka wobec problemów ochrony przyrody ,  także środowiska. Edukacja ekologiczna zatem obejmuje zarówno procesy kształcenia, jak i wychowania oraz oświaty w kontekstach ochrony środowiska i przyrody. Konteksty te nakreślone zostały w deklaracjach ONZ z Tbilisi (1977) oraz Rio de </w:t>
      </w:r>
      <w:proofErr w:type="spellStart"/>
      <w:r w:rsidRPr="0041200B">
        <w:rPr>
          <w:rFonts w:ascii="Arial" w:hAnsi="Arial" w:cs="Arial"/>
          <w:sz w:val="24"/>
          <w:szCs w:val="24"/>
        </w:rPr>
        <w:t>Janeiro</w:t>
      </w:r>
      <w:proofErr w:type="spellEnd"/>
      <w:r w:rsidRPr="0041200B">
        <w:rPr>
          <w:rFonts w:ascii="Arial" w:hAnsi="Arial" w:cs="Arial"/>
          <w:sz w:val="24"/>
          <w:szCs w:val="24"/>
        </w:rPr>
        <w:t xml:space="preserve"> (1992), a współcześnie w Agendzie 2030 i założeniach Europejskiego Zielonego Ładu. Szczególnie zmiany klimatyczne miały wpływ na wprowadzenie doktryny Europejskiego Zielonego Ładu wdrażania w krajach UE. To wdrażanie nie może być ograniczone do jednego pokolenia, a mimo założeń i celów nakreślonych do 2050, wszystko wskazuje na to, iż będzie procesem ciągłym i międzypokoleniowym. To dlatego tak istotne jest, aby w procesy przemian i budowania świadomości jak najszerzej włączać uczniów i adeptów nauki zawodu, gdyż to oni przejmą odpowiedzialność za naszą planetę i to od nich w dużym stopniu będzie zależało, jak następne pokolenie będzie przygotowane do zmierzenia się z tym wyzwaniem.</w:t>
      </w:r>
    </w:p>
    <w:p w14:paraId="4A1C84BB" w14:textId="77777777" w:rsidR="00C05B1A" w:rsidRPr="0041200B" w:rsidRDefault="00C05B1A" w:rsidP="0041200B">
      <w:pPr>
        <w:spacing w:line="360" w:lineRule="auto"/>
        <w:rPr>
          <w:rFonts w:ascii="Arial" w:hAnsi="Arial" w:cs="Arial"/>
          <w:b/>
          <w:sz w:val="24"/>
          <w:szCs w:val="24"/>
        </w:rPr>
      </w:pPr>
      <w:r w:rsidRPr="0041200B">
        <w:rPr>
          <w:rFonts w:ascii="Arial" w:hAnsi="Arial" w:cs="Arial"/>
          <w:b/>
          <w:sz w:val="24"/>
          <w:szCs w:val="24"/>
        </w:rPr>
        <w:t>Cele i założenia edukacji ekologicznej</w:t>
      </w:r>
    </w:p>
    <w:p w14:paraId="431CCE74" w14:textId="77777777" w:rsidR="00C05B1A" w:rsidRPr="0041200B" w:rsidRDefault="00C05B1A" w:rsidP="0041200B">
      <w:pPr>
        <w:spacing w:line="360" w:lineRule="auto"/>
        <w:rPr>
          <w:rFonts w:ascii="Arial" w:hAnsi="Arial" w:cs="Arial"/>
          <w:sz w:val="24"/>
          <w:szCs w:val="24"/>
        </w:rPr>
      </w:pPr>
      <w:r w:rsidRPr="0041200B">
        <w:rPr>
          <w:rFonts w:ascii="Arial" w:hAnsi="Arial" w:cs="Arial"/>
          <w:sz w:val="24"/>
          <w:szCs w:val="24"/>
        </w:rPr>
        <w:t xml:space="preserve">Wspomniana powyżej Deklaracja z Tbilisi przedstawia pięć  głównych zadań edukacji ekologicznej, tj.: </w:t>
      </w:r>
    </w:p>
    <w:p w14:paraId="43290DC9" w14:textId="77777777" w:rsidR="00C05B1A" w:rsidRPr="0041200B" w:rsidRDefault="00C05B1A" w:rsidP="0041200B">
      <w:pPr>
        <w:spacing w:line="360" w:lineRule="auto"/>
        <w:rPr>
          <w:rFonts w:ascii="Arial" w:hAnsi="Arial" w:cs="Arial"/>
          <w:sz w:val="24"/>
          <w:szCs w:val="24"/>
        </w:rPr>
      </w:pPr>
      <w:r w:rsidRPr="0041200B">
        <w:rPr>
          <w:rFonts w:ascii="Arial" w:hAnsi="Arial" w:cs="Arial"/>
          <w:sz w:val="24"/>
          <w:szCs w:val="24"/>
        </w:rPr>
        <w:lastRenderedPageBreak/>
        <w:t xml:space="preserve">1) uświadomienie - pomoc różnym grupom społecznym w uświadomieniu sobie globalnego charakteru środowiska; </w:t>
      </w:r>
    </w:p>
    <w:p w14:paraId="1902A31A" w14:textId="77777777" w:rsidR="00C05B1A" w:rsidRPr="0041200B" w:rsidRDefault="00C05B1A" w:rsidP="0041200B">
      <w:pPr>
        <w:spacing w:line="360" w:lineRule="auto"/>
        <w:rPr>
          <w:rFonts w:ascii="Arial" w:hAnsi="Arial" w:cs="Arial"/>
          <w:sz w:val="24"/>
          <w:szCs w:val="24"/>
        </w:rPr>
      </w:pPr>
      <w:r w:rsidRPr="0041200B">
        <w:rPr>
          <w:rFonts w:ascii="Arial" w:hAnsi="Arial" w:cs="Arial"/>
          <w:sz w:val="24"/>
          <w:szCs w:val="24"/>
        </w:rPr>
        <w:t xml:space="preserve">2) dostarczenie wiadomości - pomoc w zdobywaniu wiadomości o środowisku i związanych z nim problemach; </w:t>
      </w:r>
    </w:p>
    <w:p w14:paraId="1537D013" w14:textId="77777777" w:rsidR="00C05B1A" w:rsidRPr="0041200B" w:rsidRDefault="00C05B1A" w:rsidP="0041200B">
      <w:pPr>
        <w:spacing w:line="360" w:lineRule="auto"/>
        <w:rPr>
          <w:rFonts w:ascii="Arial" w:hAnsi="Arial" w:cs="Arial"/>
          <w:sz w:val="24"/>
          <w:szCs w:val="24"/>
        </w:rPr>
      </w:pPr>
      <w:r w:rsidRPr="0041200B">
        <w:rPr>
          <w:rFonts w:ascii="Arial" w:hAnsi="Arial" w:cs="Arial"/>
          <w:sz w:val="24"/>
          <w:szCs w:val="24"/>
        </w:rPr>
        <w:t xml:space="preserve">3) kształtowanie postaw - inspirowanie wyboru wartości i dostarczanie motywacji do zmiany postawy na przyjazną środowisku; </w:t>
      </w:r>
    </w:p>
    <w:p w14:paraId="19362226" w14:textId="77777777" w:rsidR="00C05B1A" w:rsidRPr="0041200B" w:rsidRDefault="00C05B1A" w:rsidP="0041200B">
      <w:pPr>
        <w:spacing w:line="360" w:lineRule="auto"/>
        <w:rPr>
          <w:rFonts w:ascii="Arial" w:hAnsi="Arial" w:cs="Arial"/>
          <w:sz w:val="24"/>
          <w:szCs w:val="24"/>
        </w:rPr>
      </w:pPr>
      <w:r w:rsidRPr="0041200B">
        <w:rPr>
          <w:rFonts w:ascii="Arial" w:hAnsi="Arial" w:cs="Arial"/>
          <w:sz w:val="24"/>
          <w:szCs w:val="24"/>
        </w:rPr>
        <w:t xml:space="preserve">4) nabycie kompetencji - kształcenie zdolności do określania i rozwiązywania problemów dotyczących środowiska; </w:t>
      </w:r>
    </w:p>
    <w:p w14:paraId="4CC8DCF4" w14:textId="77777777" w:rsidR="00C05B1A" w:rsidRPr="0041200B" w:rsidRDefault="00C05B1A" w:rsidP="0041200B">
      <w:pPr>
        <w:spacing w:line="360" w:lineRule="auto"/>
        <w:rPr>
          <w:rFonts w:ascii="Arial" w:hAnsi="Arial" w:cs="Arial"/>
          <w:sz w:val="24"/>
          <w:szCs w:val="24"/>
        </w:rPr>
      </w:pPr>
      <w:r w:rsidRPr="0041200B">
        <w:rPr>
          <w:rFonts w:ascii="Arial" w:hAnsi="Arial" w:cs="Arial"/>
          <w:sz w:val="24"/>
          <w:szCs w:val="24"/>
        </w:rPr>
        <w:t>5) uczestnictwo (demokratyzacja) - umożliwienie aktywnego uczestnictwa grupom społecznym i poszczególnym osobom w rozwiązywaniu problemów ekologicznych.</w:t>
      </w:r>
    </w:p>
    <w:p w14:paraId="50D14B9D" w14:textId="77777777" w:rsidR="00C05B1A" w:rsidRPr="0041200B" w:rsidRDefault="00C05B1A" w:rsidP="0041200B">
      <w:pPr>
        <w:spacing w:line="360" w:lineRule="auto"/>
        <w:rPr>
          <w:rFonts w:ascii="Arial" w:hAnsi="Arial" w:cs="Arial"/>
          <w:sz w:val="24"/>
          <w:szCs w:val="24"/>
        </w:rPr>
      </w:pPr>
      <w:r w:rsidRPr="0041200B">
        <w:rPr>
          <w:rFonts w:ascii="Arial" w:hAnsi="Arial" w:cs="Arial"/>
          <w:sz w:val="24"/>
          <w:szCs w:val="24"/>
        </w:rPr>
        <w:t xml:space="preserve">W 1992 roku w Rio doszło do istotnego uzupełnienia tych założeń o kwestię kształcenia nauczycieli (stworzenie programów) i innych osób związanych z edukacją ekologiczną). Należy dążyć do  stworzenia programów kształcenia zawodowego i zapewnienia odpowiednich materiałów edukacyjnych. Dużą rolę przyznano promocji współpracy ośrodków kształcenia ze środkami masowego przekazu, reklamą itd. oraz odpowiedniego wykorzystania środków audiowizualnych. Zachęcano tam do stworzenia programów włączania dzieci i młodzieży w rozwiązywanie problemów ochrony środowiska i ustabilizowanego rozwoju (ekorozwoju). </w:t>
      </w:r>
    </w:p>
    <w:p w14:paraId="084EB11D" w14:textId="77777777" w:rsidR="00C05B1A" w:rsidRPr="0041200B" w:rsidRDefault="00C05B1A" w:rsidP="0041200B">
      <w:pPr>
        <w:spacing w:after="0" w:line="360" w:lineRule="auto"/>
        <w:ind w:firstLine="348"/>
        <w:rPr>
          <w:rFonts w:ascii="Arial" w:hAnsi="Arial" w:cs="Arial"/>
          <w:i/>
          <w:sz w:val="24"/>
          <w:szCs w:val="24"/>
        </w:rPr>
      </w:pPr>
      <w:r w:rsidRPr="0041200B">
        <w:rPr>
          <w:rFonts w:ascii="Arial" w:hAnsi="Arial" w:cs="Arial"/>
          <w:sz w:val="24"/>
          <w:szCs w:val="24"/>
        </w:rPr>
        <w:t xml:space="preserve">Z czasem powiązano te kwestie w szerzej rozumianą koncepcję zrównoważonego rozwoju ujętą w Agendzie ONZ 2030 (tzw. porozumienie paryskie z 2016 roku) pokazując komplementarność obszarów i powiązania występujące między poszczególnymi obszarami problemowymi. W tym duchu (oddziaływania międzysektorowego i wielopłaszczyznowo) przemawiają założenia Europejskiego Zielonego Ładu, który co roku przynosi kolejne zalecenia i rozporządzenia unijnych gremiów, m.in. w zakresie bioróżnorodności, tworzyw sztucznych i chemikaliów oraz tzw. ESG (zarządzania środowiskowo-społecznego, ang. </w:t>
      </w:r>
      <w:proofErr w:type="spellStart"/>
      <w:r w:rsidRPr="0041200B">
        <w:rPr>
          <w:rFonts w:ascii="Arial" w:hAnsi="Arial" w:cs="Arial"/>
          <w:i/>
          <w:sz w:val="24"/>
          <w:szCs w:val="24"/>
        </w:rPr>
        <w:t>environmental-social-governance</w:t>
      </w:r>
      <w:proofErr w:type="spellEnd"/>
      <w:r w:rsidRPr="0041200B">
        <w:rPr>
          <w:rFonts w:ascii="Arial" w:hAnsi="Arial" w:cs="Arial"/>
          <w:sz w:val="24"/>
          <w:szCs w:val="24"/>
        </w:rPr>
        <w:t xml:space="preserve">). Na początku 2022 roku pojawiła się również </w:t>
      </w:r>
      <w:r w:rsidRPr="0041200B">
        <w:rPr>
          <w:rFonts w:ascii="Arial" w:hAnsi="Arial" w:cs="Arial"/>
          <w:i/>
          <w:sz w:val="24"/>
          <w:szCs w:val="24"/>
        </w:rPr>
        <w:t>Europejska Rama</w:t>
      </w:r>
      <w:r w:rsidRPr="0041200B">
        <w:rPr>
          <w:rFonts w:ascii="Arial" w:hAnsi="Arial" w:cs="Arial"/>
          <w:sz w:val="24"/>
          <w:szCs w:val="24"/>
        </w:rPr>
        <w:t xml:space="preserve"> </w:t>
      </w:r>
      <w:r w:rsidRPr="0041200B">
        <w:rPr>
          <w:rFonts w:ascii="Arial" w:hAnsi="Arial" w:cs="Arial"/>
          <w:i/>
          <w:sz w:val="24"/>
          <w:szCs w:val="24"/>
        </w:rPr>
        <w:t>kompetencji w zakresie zrównoważonego rozwoju</w:t>
      </w:r>
      <w:r w:rsidRPr="0041200B">
        <w:rPr>
          <w:rFonts w:ascii="Arial" w:hAnsi="Arial" w:cs="Arial"/>
          <w:sz w:val="24"/>
          <w:szCs w:val="24"/>
        </w:rPr>
        <w:t xml:space="preserve"> (tzw. </w:t>
      </w:r>
      <w:proofErr w:type="spellStart"/>
      <w:r w:rsidRPr="0041200B">
        <w:rPr>
          <w:rFonts w:ascii="Arial" w:hAnsi="Arial" w:cs="Arial"/>
          <w:sz w:val="24"/>
          <w:szCs w:val="24"/>
        </w:rPr>
        <w:t>GreenComp</w:t>
      </w:r>
      <w:proofErr w:type="spellEnd"/>
      <w:r w:rsidRPr="0041200B">
        <w:rPr>
          <w:rFonts w:ascii="Arial" w:hAnsi="Arial" w:cs="Arial"/>
          <w:sz w:val="24"/>
          <w:szCs w:val="24"/>
        </w:rPr>
        <w:t xml:space="preserve">) autorstwa B. </w:t>
      </w:r>
      <w:proofErr w:type="spellStart"/>
      <w:r w:rsidRPr="0041200B">
        <w:rPr>
          <w:rFonts w:ascii="Arial" w:hAnsi="Arial" w:cs="Arial"/>
          <w:sz w:val="24"/>
          <w:szCs w:val="24"/>
        </w:rPr>
        <w:lastRenderedPageBreak/>
        <w:t>Guia</w:t>
      </w:r>
      <w:proofErr w:type="spellEnd"/>
      <w:r w:rsidRPr="0041200B">
        <w:rPr>
          <w:rFonts w:ascii="Arial" w:hAnsi="Arial" w:cs="Arial"/>
          <w:sz w:val="24"/>
          <w:szCs w:val="24"/>
        </w:rPr>
        <w:t xml:space="preserve"> i innych badaczy ze Wspólnotowego Centrum Badawczego. (</w:t>
      </w:r>
      <w:hyperlink r:id="rId9" w:history="1">
        <w:r w:rsidRPr="0041200B">
          <w:rPr>
            <w:rStyle w:val="Hipercze"/>
            <w:rFonts w:ascii="Arial" w:hAnsi="Arial" w:cs="Arial"/>
            <w:sz w:val="24"/>
            <w:szCs w:val="24"/>
          </w:rPr>
          <w:t>https://publications.jrc.ec.europa.eu/repository/handle/JRC128040</w:t>
        </w:r>
      </w:hyperlink>
      <w:r w:rsidRPr="0041200B">
        <w:rPr>
          <w:rStyle w:val="Hipercze"/>
          <w:rFonts w:ascii="Arial" w:hAnsi="Arial" w:cs="Arial"/>
          <w:sz w:val="24"/>
          <w:szCs w:val="24"/>
        </w:rPr>
        <w:t>).</w:t>
      </w:r>
      <w:r w:rsidRPr="0041200B">
        <w:rPr>
          <w:rFonts w:ascii="Arial" w:hAnsi="Arial" w:cs="Arial"/>
          <w:i/>
          <w:sz w:val="24"/>
          <w:szCs w:val="24"/>
        </w:rPr>
        <w:t xml:space="preserve"> </w:t>
      </w:r>
    </w:p>
    <w:p w14:paraId="4DED484D" w14:textId="77777777" w:rsidR="00C05B1A" w:rsidRPr="0041200B" w:rsidRDefault="00C05B1A" w:rsidP="0041200B">
      <w:pPr>
        <w:spacing w:line="360" w:lineRule="auto"/>
        <w:rPr>
          <w:rFonts w:ascii="Arial" w:hAnsi="Arial" w:cs="Arial"/>
          <w:sz w:val="24"/>
          <w:szCs w:val="24"/>
        </w:rPr>
      </w:pPr>
      <w:r w:rsidRPr="0041200B">
        <w:rPr>
          <w:rFonts w:ascii="Arial" w:hAnsi="Arial" w:cs="Arial"/>
          <w:sz w:val="24"/>
          <w:szCs w:val="24"/>
        </w:rPr>
        <w:t xml:space="preserve">Za J. </w:t>
      </w:r>
      <w:proofErr w:type="spellStart"/>
      <w:r w:rsidRPr="0041200B">
        <w:rPr>
          <w:rFonts w:ascii="Arial" w:hAnsi="Arial" w:cs="Arial"/>
          <w:sz w:val="24"/>
          <w:szCs w:val="24"/>
        </w:rPr>
        <w:t>Ochenduszką</w:t>
      </w:r>
      <w:proofErr w:type="spellEnd"/>
      <w:r w:rsidRPr="0041200B">
        <w:rPr>
          <w:rFonts w:ascii="Arial" w:hAnsi="Arial" w:cs="Arial"/>
          <w:sz w:val="24"/>
          <w:szCs w:val="24"/>
        </w:rPr>
        <w:t xml:space="preserve"> można przytoczyć, iż do podstawowych celów edukacji ekologicznej należą: </w:t>
      </w:r>
    </w:p>
    <w:p w14:paraId="22FB969A" w14:textId="77777777" w:rsidR="00C05B1A" w:rsidRPr="0041200B" w:rsidRDefault="00C05B1A" w:rsidP="0041200B">
      <w:pPr>
        <w:spacing w:line="360" w:lineRule="auto"/>
        <w:rPr>
          <w:rFonts w:ascii="Arial" w:hAnsi="Arial" w:cs="Arial"/>
          <w:sz w:val="24"/>
          <w:szCs w:val="24"/>
        </w:rPr>
      </w:pPr>
      <w:r w:rsidRPr="0041200B">
        <w:rPr>
          <w:rFonts w:ascii="Arial" w:hAnsi="Arial" w:cs="Arial"/>
          <w:sz w:val="24"/>
          <w:szCs w:val="24"/>
        </w:rPr>
        <w:t>1) objaśnianie jednostkom i społeczeństwu istoty globalnego charakteru środowiska, wynikającego z interpretacji naturalnych i sztucznych jego czynników (biologicznych, fizycznych, społecznych, ekonomicznych, kulturowych) oraz</w:t>
      </w:r>
    </w:p>
    <w:p w14:paraId="28CD699D" w14:textId="77777777" w:rsidR="00C05B1A" w:rsidRPr="0041200B" w:rsidRDefault="00C05B1A" w:rsidP="0041200B">
      <w:pPr>
        <w:spacing w:line="360" w:lineRule="auto"/>
        <w:rPr>
          <w:rFonts w:ascii="Arial" w:hAnsi="Arial" w:cs="Arial"/>
          <w:sz w:val="24"/>
          <w:szCs w:val="24"/>
        </w:rPr>
      </w:pPr>
      <w:r w:rsidRPr="0041200B">
        <w:rPr>
          <w:rFonts w:ascii="Arial" w:hAnsi="Arial" w:cs="Arial"/>
          <w:sz w:val="24"/>
          <w:szCs w:val="24"/>
        </w:rPr>
        <w:t xml:space="preserve">2) opanowanie wiedzy, przyswojenie postaw i umiejętności, które pozwolą uczestniczyć w sposób odpowiedzialny i efektywny w skutecznym rozwiązywaniu obecnych problemów ekologicznych. </w:t>
      </w:r>
    </w:p>
    <w:p w14:paraId="6B597371" w14:textId="77777777" w:rsidR="00C05B1A" w:rsidRPr="0041200B" w:rsidRDefault="00C05B1A" w:rsidP="0041200B">
      <w:pPr>
        <w:spacing w:line="360" w:lineRule="auto"/>
        <w:rPr>
          <w:rFonts w:ascii="Arial" w:hAnsi="Arial" w:cs="Arial"/>
          <w:sz w:val="24"/>
          <w:szCs w:val="24"/>
        </w:rPr>
      </w:pPr>
      <w:r w:rsidRPr="0041200B">
        <w:rPr>
          <w:rFonts w:ascii="Arial" w:hAnsi="Arial" w:cs="Arial"/>
          <w:sz w:val="24"/>
          <w:szCs w:val="24"/>
        </w:rPr>
        <w:t xml:space="preserve">Warto zajrzeć również do </w:t>
      </w:r>
      <w:r w:rsidRPr="0041200B">
        <w:rPr>
          <w:rFonts w:ascii="Arial" w:hAnsi="Arial" w:cs="Arial"/>
          <w:i/>
          <w:iCs/>
          <w:sz w:val="24"/>
          <w:szCs w:val="24"/>
        </w:rPr>
        <w:t xml:space="preserve">OECD Learning </w:t>
      </w:r>
      <w:proofErr w:type="spellStart"/>
      <w:r w:rsidRPr="0041200B">
        <w:rPr>
          <w:rFonts w:ascii="Arial" w:hAnsi="Arial" w:cs="Arial"/>
          <w:i/>
          <w:iCs/>
          <w:sz w:val="24"/>
          <w:szCs w:val="24"/>
        </w:rPr>
        <w:t>Compass</w:t>
      </w:r>
      <w:proofErr w:type="spellEnd"/>
      <w:r w:rsidRPr="0041200B">
        <w:rPr>
          <w:rFonts w:ascii="Arial" w:hAnsi="Arial" w:cs="Arial"/>
          <w:i/>
          <w:iCs/>
          <w:sz w:val="24"/>
          <w:szCs w:val="24"/>
        </w:rPr>
        <w:t xml:space="preserve"> 2030</w:t>
      </w:r>
      <w:r w:rsidRPr="0041200B">
        <w:rPr>
          <w:rFonts w:ascii="Arial" w:hAnsi="Arial" w:cs="Arial"/>
          <w:sz w:val="24"/>
          <w:szCs w:val="24"/>
        </w:rPr>
        <w:t xml:space="preserve"> sprawdzając, jak tworzyć takie środowiska uczenia się, które „pielęgnowałyby” kompetencje transformacyjne (</w:t>
      </w:r>
      <w:proofErr w:type="spellStart"/>
      <w:r w:rsidRPr="0041200B">
        <w:rPr>
          <w:rFonts w:ascii="Arial" w:hAnsi="Arial" w:cs="Arial"/>
          <w:sz w:val="24"/>
          <w:szCs w:val="24"/>
        </w:rPr>
        <w:t>Bianchi</w:t>
      </w:r>
      <w:proofErr w:type="spellEnd"/>
      <w:r w:rsidRPr="0041200B">
        <w:rPr>
          <w:rFonts w:ascii="Arial" w:hAnsi="Arial" w:cs="Arial"/>
          <w:sz w:val="24"/>
          <w:szCs w:val="24"/>
        </w:rPr>
        <w:t xml:space="preserve"> G, s. 28). </w:t>
      </w:r>
    </w:p>
    <w:p w14:paraId="61AE93DC" w14:textId="77777777" w:rsidR="00C05B1A" w:rsidRPr="0041200B" w:rsidRDefault="00C05B1A" w:rsidP="0041200B">
      <w:pPr>
        <w:pStyle w:val="Pa7"/>
        <w:spacing w:line="360" w:lineRule="auto"/>
        <w:rPr>
          <w:rFonts w:ascii="Arial" w:hAnsi="Arial" w:cs="Arial"/>
        </w:rPr>
      </w:pPr>
      <w:r w:rsidRPr="0041200B">
        <w:rPr>
          <w:rFonts w:ascii="Arial" w:hAnsi="Arial" w:cs="Arial"/>
          <w:color w:val="000000"/>
        </w:rPr>
        <w:t xml:space="preserve">W strategii Polityka Ekologiczna Państwa 2030 (PEP 2030) ujęto cel horyzontalny </w:t>
      </w:r>
      <w:r w:rsidRPr="0041200B">
        <w:rPr>
          <w:rStyle w:val="A3"/>
          <w:rFonts w:ascii="Arial" w:hAnsi="Arial" w:cs="Arial"/>
          <w:b/>
          <w:bCs/>
          <w:sz w:val="24"/>
          <w:szCs w:val="24"/>
        </w:rPr>
        <w:t xml:space="preserve">Środowisko i edukacja </w:t>
      </w:r>
      <w:r w:rsidRPr="0041200B">
        <w:rPr>
          <w:rStyle w:val="A3"/>
          <w:rFonts w:ascii="Arial" w:hAnsi="Arial" w:cs="Arial"/>
          <w:sz w:val="24"/>
          <w:szCs w:val="24"/>
        </w:rPr>
        <w:t>przewidujący</w:t>
      </w:r>
      <w:r w:rsidRPr="0041200B">
        <w:rPr>
          <w:rStyle w:val="A3"/>
          <w:rFonts w:ascii="Arial" w:hAnsi="Arial" w:cs="Arial"/>
          <w:b/>
          <w:bCs/>
          <w:sz w:val="24"/>
          <w:szCs w:val="24"/>
        </w:rPr>
        <w:t xml:space="preserve"> </w:t>
      </w:r>
      <w:r w:rsidRPr="0041200B">
        <w:rPr>
          <w:rStyle w:val="A3"/>
          <w:rFonts w:ascii="Arial" w:hAnsi="Arial" w:cs="Arial"/>
          <w:sz w:val="24"/>
          <w:szCs w:val="24"/>
        </w:rPr>
        <w:t>Rozwijanie kompetencji (wiedzy, umiejętności  i postaw) ekologicznych społeczeństwa</w:t>
      </w:r>
      <w:r w:rsidRPr="0041200B">
        <w:rPr>
          <w:rFonts w:ascii="Arial" w:hAnsi="Arial" w:cs="Arial"/>
          <w:color w:val="000000"/>
        </w:rPr>
        <w:t>. Przewiduje się tam, iż dla ukształtowania nowych wzorców konsumpcji istotna będzie obecność technologii i nowoczesnych narzędzi edukacji, przybliżenie koncepcji dobrowolnego systemowego podejścia do zarządzania oddzia</w:t>
      </w:r>
      <w:r w:rsidRPr="0041200B">
        <w:rPr>
          <w:rFonts w:ascii="Arial" w:hAnsi="Arial" w:cs="Arial"/>
          <w:color w:val="000000"/>
        </w:rPr>
        <w:softHyphen/>
        <w:t>ływaniami na środowiskowo przez organizacje posiadające certyfikaty EMAS lub ISO 14001 oraz wykorzystanie instrumentów ekonomicznych, takich jak podatki, tak aby ceny produktów lepiej odzwierciedlały koszty środowiskowe. Wspierane będą rów</w:t>
      </w:r>
      <w:r w:rsidRPr="0041200B">
        <w:rPr>
          <w:rFonts w:ascii="Arial" w:hAnsi="Arial" w:cs="Arial"/>
          <w:color w:val="000000"/>
        </w:rPr>
        <w:softHyphen/>
        <w:t>nież innowacyjne formy konsumpcji, takie jak korzystanie z tych samych produktów lub infrastruktury (gospodarka dzielenia się), konsumpcja usług, a nie produktów, oraz korzystanie z technologii informacyjnych lub platform cyfrowych.</w:t>
      </w:r>
    </w:p>
    <w:p w14:paraId="016B48A6" w14:textId="77777777" w:rsidR="00C05B1A" w:rsidRPr="0041200B" w:rsidRDefault="00C05B1A" w:rsidP="0041200B">
      <w:pPr>
        <w:spacing w:line="360" w:lineRule="auto"/>
        <w:rPr>
          <w:rFonts w:ascii="Arial" w:hAnsi="Arial" w:cs="Arial"/>
          <w:sz w:val="24"/>
          <w:szCs w:val="24"/>
        </w:rPr>
      </w:pPr>
    </w:p>
    <w:p w14:paraId="6EDC0402" w14:textId="666FEA7E" w:rsidR="00BC3A65" w:rsidRPr="0041200B" w:rsidRDefault="00BC3A65" w:rsidP="0041200B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41200B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118928" w14:textId="77777777" w:rsidR="004145B2" w:rsidRDefault="004145B2" w:rsidP="003C513B">
      <w:pPr>
        <w:spacing w:after="0" w:line="240" w:lineRule="auto"/>
      </w:pPr>
      <w:r>
        <w:separator/>
      </w:r>
    </w:p>
  </w:endnote>
  <w:endnote w:type="continuationSeparator" w:id="0">
    <w:p w14:paraId="10D748CB" w14:textId="77777777" w:rsidR="004145B2" w:rsidRDefault="004145B2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0A60BB" w14:textId="77777777" w:rsidR="004145B2" w:rsidRDefault="004145B2" w:rsidP="003C513B">
      <w:pPr>
        <w:spacing w:after="0" w:line="240" w:lineRule="auto"/>
      </w:pPr>
      <w:r>
        <w:separator/>
      </w:r>
    </w:p>
  </w:footnote>
  <w:footnote w:type="continuationSeparator" w:id="0">
    <w:p w14:paraId="519A962F" w14:textId="77777777" w:rsidR="004145B2" w:rsidRDefault="004145B2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73031"/>
    <w:multiLevelType w:val="hybridMultilevel"/>
    <w:tmpl w:val="3FB0A56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EC26DC"/>
    <w:multiLevelType w:val="hybridMultilevel"/>
    <w:tmpl w:val="AC304E50"/>
    <w:lvl w:ilvl="0" w:tplc="49C8CDA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1D5A41BB"/>
    <w:multiLevelType w:val="hybridMultilevel"/>
    <w:tmpl w:val="E91682A8"/>
    <w:lvl w:ilvl="0" w:tplc="EFB6AC7A">
      <w:start w:val="1"/>
      <w:numFmt w:val="bullet"/>
      <w:lvlText w:val="·"/>
      <w:lvlJc w:val="left"/>
      <w:pPr>
        <w:ind w:left="1417" w:hanging="360"/>
      </w:pPr>
      <w:rPr>
        <w:rFonts w:ascii="Symbol" w:eastAsia="Symbol" w:hAnsi="Symbol" w:cs="Symbol" w:hint="default"/>
      </w:rPr>
    </w:lvl>
    <w:lvl w:ilvl="1" w:tplc="338857DC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 w:hint="default"/>
      </w:rPr>
    </w:lvl>
    <w:lvl w:ilvl="2" w:tplc="0628A260">
      <w:start w:val="1"/>
      <w:numFmt w:val="bullet"/>
      <w:lvlText w:val="§"/>
      <w:lvlJc w:val="left"/>
      <w:pPr>
        <w:ind w:left="2857" w:hanging="360"/>
      </w:pPr>
      <w:rPr>
        <w:rFonts w:ascii="Wingdings" w:eastAsia="Wingdings" w:hAnsi="Wingdings" w:cs="Wingdings" w:hint="default"/>
      </w:rPr>
    </w:lvl>
    <w:lvl w:ilvl="3" w:tplc="E73C9030">
      <w:start w:val="1"/>
      <w:numFmt w:val="bullet"/>
      <w:lvlText w:val="·"/>
      <w:lvlJc w:val="left"/>
      <w:pPr>
        <w:ind w:left="3577" w:hanging="360"/>
      </w:pPr>
      <w:rPr>
        <w:rFonts w:ascii="Symbol" w:eastAsia="Symbol" w:hAnsi="Symbol" w:cs="Symbol" w:hint="default"/>
      </w:rPr>
    </w:lvl>
    <w:lvl w:ilvl="4" w:tplc="E6F012A6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 w:hint="default"/>
      </w:rPr>
    </w:lvl>
    <w:lvl w:ilvl="5" w:tplc="DC8C9446">
      <w:start w:val="1"/>
      <w:numFmt w:val="bullet"/>
      <w:lvlText w:val="§"/>
      <w:lvlJc w:val="left"/>
      <w:pPr>
        <w:ind w:left="5017" w:hanging="360"/>
      </w:pPr>
      <w:rPr>
        <w:rFonts w:ascii="Wingdings" w:eastAsia="Wingdings" w:hAnsi="Wingdings" w:cs="Wingdings" w:hint="default"/>
      </w:rPr>
    </w:lvl>
    <w:lvl w:ilvl="6" w:tplc="AE86D53A">
      <w:start w:val="1"/>
      <w:numFmt w:val="bullet"/>
      <w:lvlText w:val="·"/>
      <w:lvlJc w:val="left"/>
      <w:pPr>
        <w:ind w:left="5737" w:hanging="360"/>
      </w:pPr>
      <w:rPr>
        <w:rFonts w:ascii="Symbol" w:eastAsia="Symbol" w:hAnsi="Symbol" w:cs="Symbol" w:hint="default"/>
      </w:rPr>
    </w:lvl>
    <w:lvl w:ilvl="7" w:tplc="B608F8C6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 w:hint="default"/>
      </w:rPr>
    </w:lvl>
    <w:lvl w:ilvl="8" w:tplc="8886F31C">
      <w:start w:val="1"/>
      <w:numFmt w:val="bullet"/>
      <w:lvlText w:val="§"/>
      <w:lvlJc w:val="left"/>
      <w:pPr>
        <w:ind w:left="7177" w:hanging="360"/>
      </w:pPr>
      <w:rPr>
        <w:rFonts w:ascii="Wingdings" w:eastAsia="Wingdings" w:hAnsi="Wingdings" w:cs="Wingdings" w:hint="default"/>
      </w:rPr>
    </w:lvl>
  </w:abstractNum>
  <w:abstractNum w:abstractNumId="4" w15:restartNumberingAfterBreak="0">
    <w:nsid w:val="209A6726"/>
    <w:multiLevelType w:val="hybridMultilevel"/>
    <w:tmpl w:val="0A3295B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376965EC"/>
    <w:multiLevelType w:val="hybridMultilevel"/>
    <w:tmpl w:val="5EBCB9E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9BF166A"/>
    <w:multiLevelType w:val="hybridMultilevel"/>
    <w:tmpl w:val="32347222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3C456BE3"/>
    <w:multiLevelType w:val="hybridMultilevel"/>
    <w:tmpl w:val="44804AC2"/>
    <w:lvl w:ilvl="0" w:tplc="E048B31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D9670EF"/>
    <w:multiLevelType w:val="hybridMultilevel"/>
    <w:tmpl w:val="98CE9280"/>
    <w:lvl w:ilvl="0" w:tplc="51189DD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42A915BF"/>
    <w:multiLevelType w:val="hybridMultilevel"/>
    <w:tmpl w:val="3B6E6AF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3FC55BA"/>
    <w:multiLevelType w:val="hybridMultilevel"/>
    <w:tmpl w:val="FE2A5D68"/>
    <w:lvl w:ilvl="0" w:tplc="BD4EEE62">
      <w:start w:val="1"/>
      <w:numFmt w:val="decimal"/>
      <w:lvlText w:val="%1."/>
      <w:lvlJc w:val="left"/>
      <w:pPr>
        <w:ind w:left="1417" w:hanging="360"/>
      </w:pPr>
    </w:lvl>
    <w:lvl w:ilvl="1" w:tplc="DC5C7756">
      <w:start w:val="1"/>
      <w:numFmt w:val="lowerLetter"/>
      <w:lvlText w:val="%2."/>
      <w:lvlJc w:val="left"/>
      <w:pPr>
        <w:ind w:left="2137" w:hanging="360"/>
      </w:pPr>
    </w:lvl>
    <w:lvl w:ilvl="2" w:tplc="A322DFDC">
      <w:start w:val="1"/>
      <w:numFmt w:val="lowerRoman"/>
      <w:lvlText w:val="%3."/>
      <w:lvlJc w:val="right"/>
      <w:pPr>
        <w:ind w:left="2857" w:hanging="180"/>
      </w:pPr>
    </w:lvl>
    <w:lvl w:ilvl="3" w:tplc="8A7E9A54">
      <w:start w:val="1"/>
      <w:numFmt w:val="decimal"/>
      <w:lvlText w:val="%4."/>
      <w:lvlJc w:val="left"/>
      <w:pPr>
        <w:ind w:left="3577" w:hanging="360"/>
      </w:pPr>
    </w:lvl>
    <w:lvl w:ilvl="4" w:tplc="25CC6B58">
      <w:start w:val="1"/>
      <w:numFmt w:val="lowerLetter"/>
      <w:lvlText w:val="%5."/>
      <w:lvlJc w:val="left"/>
      <w:pPr>
        <w:ind w:left="4297" w:hanging="360"/>
      </w:pPr>
    </w:lvl>
    <w:lvl w:ilvl="5" w:tplc="AFB2AF7A">
      <w:start w:val="1"/>
      <w:numFmt w:val="lowerRoman"/>
      <w:lvlText w:val="%6."/>
      <w:lvlJc w:val="right"/>
      <w:pPr>
        <w:ind w:left="5017" w:hanging="180"/>
      </w:pPr>
    </w:lvl>
    <w:lvl w:ilvl="6" w:tplc="4F366418">
      <w:start w:val="1"/>
      <w:numFmt w:val="decimal"/>
      <w:lvlText w:val="%7."/>
      <w:lvlJc w:val="left"/>
      <w:pPr>
        <w:ind w:left="5737" w:hanging="360"/>
      </w:pPr>
    </w:lvl>
    <w:lvl w:ilvl="7" w:tplc="779E5B7A">
      <w:start w:val="1"/>
      <w:numFmt w:val="lowerLetter"/>
      <w:lvlText w:val="%8."/>
      <w:lvlJc w:val="left"/>
      <w:pPr>
        <w:ind w:left="6457" w:hanging="360"/>
      </w:pPr>
    </w:lvl>
    <w:lvl w:ilvl="8" w:tplc="C046EC62">
      <w:start w:val="1"/>
      <w:numFmt w:val="lowerRoman"/>
      <w:lvlText w:val="%9."/>
      <w:lvlJc w:val="right"/>
      <w:pPr>
        <w:ind w:left="7177" w:hanging="180"/>
      </w:pPr>
    </w:lvl>
  </w:abstractNum>
  <w:abstractNum w:abstractNumId="13" w15:restartNumberingAfterBreak="0">
    <w:nsid w:val="4AFB5698"/>
    <w:multiLevelType w:val="hybridMultilevel"/>
    <w:tmpl w:val="77989B8E"/>
    <w:lvl w:ilvl="0" w:tplc="14B22E4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9544251"/>
    <w:multiLevelType w:val="hybridMultilevel"/>
    <w:tmpl w:val="EC0AC8A0"/>
    <w:lvl w:ilvl="0" w:tplc="E444A5A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 w15:restartNumberingAfterBreak="0">
    <w:nsid w:val="6BBA0856"/>
    <w:multiLevelType w:val="hybridMultilevel"/>
    <w:tmpl w:val="090440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3DE606B"/>
    <w:multiLevelType w:val="hybridMultilevel"/>
    <w:tmpl w:val="689A47E4"/>
    <w:lvl w:ilvl="0" w:tplc="5AC0D432">
      <w:start w:val="1"/>
      <w:numFmt w:val="decimal"/>
      <w:lvlText w:val="%1)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7C521907"/>
    <w:multiLevelType w:val="hybridMultilevel"/>
    <w:tmpl w:val="0068FF6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EE01A64"/>
    <w:multiLevelType w:val="hybridMultilevel"/>
    <w:tmpl w:val="262A6A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97904674">
    <w:abstractNumId w:val="2"/>
  </w:num>
  <w:num w:numId="2" w16cid:durableId="696547362">
    <w:abstractNumId w:val="15"/>
  </w:num>
  <w:num w:numId="3" w16cid:durableId="1869222873">
    <w:abstractNumId w:val="21"/>
  </w:num>
  <w:num w:numId="4" w16cid:durableId="765223711">
    <w:abstractNumId w:val="16"/>
  </w:num>
  <w:num w:numId="5" w16cid:durableId="1859393560">
    <w:abstractNumId w:val="18"/>
  </w:num>
  <w:num w:numId="6" w16cid:durableId="12462334">
    <w:abstractNumId w:val="5"/>
  </w:num>
  <w:num w:numId="7" w16cid:durableId="1699433921">
    <w:abstractNumId w:val="17"/>
  </w:num>
  <w:num w:numId="8" w16cid:durableId="579145953">
    <w:abstractNumId w:val="10"/>
  </w:num>
  <w:num w:numId="9" w16cid:durableId="457845199">
    <w:abstractNumId w:val="0"/>
  </w:num>
  <w:num w:numId="10" w16cid:durableId="614871375">
    <w:abstractNumId w:val="22"/>
  </w:num>
  <w:num w:numId="11" w16cid:durableId="1477379881">
    <w:abstractNumId w:val="4"/>
  </w:num>
  <w:num w:numId="12" w16cid:durableId="806119431">
    <w:abstractNumId w:val="13"/>
  </w:num>
  <w:num w:numId="13" w16cid:durableId="577253963">
    <w:abstractNumId w:val="14"/>
  </w:num>
  <w:num w:numId="14" w16cid:durableId="42218609">
    <w:abstractNumId w:val="11"/>
  </w:num>
  <w:num w:numId="15" w16cid:durableId="220100898">
    <w:abstractNumId w:val="20"/>
  </w:num>
  <w:num w:numId="16" w16cid:durableId="1293637815">
    <w:abstractNumId w:val="6"/>
  </w:num>
  <w:num w:numId="17" w16cid:durableId="461732615">
    <w:abstractNumId w:val="1"/>
  </w:num>
  <w:num w:numId="18" w16cid:durableId="311907466">
    <w:abstractNumId w:val="8"/>
  </w:num>
  <w:num w:numId="19" w16cid:durableId="1636064392">
    <w:abstractNumId w:val="23"/>
  </w:num>
  <w:num w:numId="20" w16cid:durableId="982734635">
    <w:abstractNumId w:val="9"/>
  </w:num>
  <w:num w:numId="21" w16cid:durableId="814877182">
    <w:abstractNumId w:val="7"/>
  </w:num>
  <w:num w:numId="22" w16cid:durableId="1296837055">
    <w:abstractNumId w:val="3"/>
  </w:num>
  <w:num w:numId="23" w16cid:durableId="17434870">
    <w:abstractNumId w:val="19"/>
  </w:num>
  <w:num w:numId="24" w16cid:durableId="163167128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14CDC"/>
    <w:rsid w:val="00026DB7"/>
    <w:rsid w:val="000278C2"/>
    <w:rsid w:val="00057197"/>
    <w:rsid w:val="000604B3"/>
    <w:rsid w:val="000813C3"/>
    <w:rsid w:val="000817FF"/>
    <w:rsid w:val="000A7934"/>
    <w:rsid w:val="000E2620"/>
    <w:rsid w:val="000F4DCC"/>
    <w:rsid w:val="00110C56"/>
    <w:rsid w:val="001C7283"/>
    <w:rsid w:val="002C2DDA"/>
    <w:rsid w:val="002C7986"/>
    <w:rsid w:val="002E7A96"/>
    <w:rsid w:val="00335A75"/>
    <w:rsid w:val="00380DC2"/>
    <w:rsid w:val="00395D4F"/>
    <w:rsid w:val="003C513B"/>
    <w:rsid w:val="003D77C6"/>
    <w:rsid w:val="004071BA"/>
    <w:rsid w:val="0041200B"/>
    <w:rsid w:val="0041227E"/>
    <w:rsid w:val="004145B2"/>
    <w:rsid w:val="004561EB"/>
    <w:rsid w:val="0052608F"/>
    <w:rsid w:val="00537297"/>
    <w:rsid w:val="0065370D"/>
    <w:rsid w:val="00682EA8"/>
    <w:rsid w:val="00701A65"/>
    <w:rsid w:val="0072221C"/>
    <w:rsid w:val="007C6FC4"/>
    <w:rsid w:val="0086458A"/>
    <w:rsid w:val="008E4DF2"/>
    <w:rsid w:val="008F448A"/>
    <w:rsid w:val="009647AF"/>
    <w:rsid w:val="00975F04"/>
    <w:rsid w:val="009953D6"/>
    <w:rsid w:val="00A522DA"/>
    <w:rsid w:val="00A73202"/>
    <w:rsid w:val="00AD6FD9"/>
    <w:rsid w:val="00B45507"/>
    <w:rsid w:val="00BC3A65"/>
    <w:rsid w:val="00BF196C"/>
    <w:rsid w:val="00C05B1A"/>
    <w:rsid w:val="00C10415"/>
    <w:rsid w:val="00D6339D"/>
    <w:rsid w:val="00DD3FE2"/>
    <w:rsid w:val="00E01A8E"/>
    <w:rsid w:val="00E027B1"/>
    <w:rsid w:val="00E147BD"/>
    <w:rsid w:val="00E163D8"/>
    <w:rsid w:val="00EB054A"/>
    <w:rsid w:val="00EF4C88"/>
    <w:rsid w:val="00EF5A6D"/>
    <w:rsid w:val="00F248D1"/>
    <w:rsid w:val="00F56FE7"/>
    <w:rsid w:val="00F73300"/>
    <w:rsid w:val="00F8280A"/>
    <w:rsid w:val="00F849C8"/>
    <w:rsid w:val="00FA277C"/>
    <w:rsid w:val="00FE1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paragraph" w:customStyle="1" w:styleId="Pa7">
    <w:name w:val="Pa7"/>
    <w:basedOn w:val="Normalny"/>
    <w:next w:val="Normalny"/>
    <w:uiPriority w:val="99"/>
    <w:rsid w:val="00C05B1A"/>
    <w:pPr>
      <w:autoSpaceDE w:val="0"/>
      <w:autoSpaceDN w:val="0"/>
      <w:adjustRightInd w:val="0"/>
      <w:spacing w:after="0" w:line="241" w:lineRule="atLeast"/>
    </w:pPr>
    <w:rPr>
      <w:rFonts w:ascii="Calibri" w:hAnsi="Calibri" w:cs="Calibri"/>
      <w:sz w:val="24"/>
      <w:szCs w:val="24"/>
    </w:rPr>
  </w:style>
  <w:style w:type="character" w:customStyle="1" w:styleId="A3">
    <w:name w:val="A3"/>
    <w:uiPriority w:val="99"/>
    <w:rsid w:val="00C05B1A"/>
    <w:rPr>
      <w:i/>
      <w:iCs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hyperlink" Target="https://publications.jrc.ec.europa.eu/repository/handle/JRC128040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77FB915-568F-47B7-951F-D6D459F6BCA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2D22064-6697-4D03-8869-20DF13358E2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832</Words>
  <Characters>4996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4</cp:revision>
  <dcterms:created xsi:type="dcterms:W3CDTF">2023-03-01T22:11:00Z</dcterms:created>
  <dcterms:modified xsi:type="dcterms:W3CDTF">2023-03-01T22:47:00Z</dcterms:modified>
</cp:coreProperties>
</file>