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BDDEF1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FFFFFF"/>
        <w:spacing w:after="0" w:line="360" w:lineRule="auto"/>
        <w:jc w:val="center"/>
        <w:rPr>
          <w:rFonts w:ascii="Arial" w:hAnsi="Arial" w:cs="Arial"/>
          <w:b/>
          <w:color w:val="000000"/>
          <w:sz w:val="24"/>
          <w:szCs w:val="24"/>
        </w:rPr>
      </w:pPr>
      <w:r w:rsidRPr="00CD1D88">
        <w:rPr>
          <w:rFonts w:ascii="Arial" w:eastAsia="Arial" w:hAnsi="Arial" w:cs="Arial"/>
          <w:b/>
          <w:color w:val="000000"/>
          <w:sz w:val="24"/>
          <w:szCs w:val="24"/>
          <w:highlight w:val="white"/>
        </w:rPr>
        <w:t xml:space="preserve">Zdrowsza i bardziej zrównoważona żywność </w:t>
      </w:r>
    </w:p>
    <w:p w14:paraId="731E9CDD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FFFFFF"/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</w:p>
    <w:p w14:paraId="7874B7E7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FFFFFF"/>
        <w:spacing w:after="0" w:line="360" w:lineRule="auto"/>
        <w:rPr>
          <w:rFonts w:ascii="Arial" w:hAnsi="Arial" w:cs="Arial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  <w:highlight w:val="white"/>
        </w:rPr>
        <w:t xml:space="preserve"> </w:t>
      </w:r>
      <w:r w:rsidRPr="00CD1D88">
        <w:rPr>
          <w:rFonts w:ascii="Arial" w:eastAsia="Arial" w:hAnsi="Arial" w:cs="Arial"/>
          <w:color w:val="000000"/>
          <w:sz w:val="24"/>
          <w:szCs w:val="24"/>
          <w:highlight w:val="white"/>
        </w:rPr>
        <w:tab/>
        <w:t xml:space="preserve">Unijny system żywnościowy gwarantuje wszystkim Europejczykom dostęp do świeżej i bezpiecznej żywności. Produkcja żywności to nie tylko podstawowa usługa, ale także źródło dochodu. Łańcuch żywnościowy UE zapewnia bezpieczeństwo żywnościowe ponad </w:t>
      </w:r>
      <w:r w:rsidRPr="00CD1D88">
        <w:rPr>
          <w:rFonts w:ascii="Arial" w:eastAsia="Arial" w:hAnsi="Arial" w:cs="Arial"/>
          <w:color w:val="000000"/>
          <w:sz w:val="24"/>
          <w:szCs w:val="24"/>
        </w:rPr>
        <w:t>4</w:t>
      </w:r>
      <w:r w:rsidRPr="00CD1D88">
        <w:rPr>
          <w:rFonts w:ascii="Arial" w:eastAsia="Arial" w:hAnsi="Arial" w:cs="Arial"/>
          <w:color w:val="000000"/>
          <w:sz w:val="24"/>
          <w:szCs w:val="24"/>
          <w:highlight w:val="white"/>
        </w:rPr>
        <w:t xml:space="preserve">00 milionom obywateli i jest ważnym sektorem gospodarki UE. </w:t>
      </w:r>
    </w:p>
    <w:p w14:paraId="30C00F3B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after="0" w:line="360" w:lineRule="auto"/>
        <w:rPr>
          <w:rFonts w:ascii="Arial" w:hAnsi="Arial" w:cs="Arial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  <w:highlight w:val="white"/>
        </w:rPr>
        <w:t>Sektor rolno-spożywczy ma jednak znaczący wpływ na środowisko. Według raportu Międzynarodowej Komisji ds. Zmian Klimatu (IPCC) około jedna trzecia światowej emisji gazów cieplarnianych pochodzi z systemów żywnościowych. Obecne wzorce żywieniowe mają również negatywny wpływ na zdrowie ludzi, o czym świadczy fakt, że ponad 50% dorosłych Europejczyków ma nadwagę.</w:t>
      </w:r>
      <w:r w:rsidRPr="00CD1D88">
        <w:rPr>
          <w:rFonts w:ascii="Arial" w:hAnsi="Arial" w:cs="Arial"/>
          <w:sz w:val="24"/>
          <w:szCs w:val="24"/>
        </w:rPr>
        <w:br/>
      </w:r>
      <w:r w:rsidRPr="00CD1D88">
        <w:rPr>
          <w:rFonts w:ascii="Arial" w:eastAsia="Arial" w:hAnsi="Arial" w:cs="Arial"/>
          <w:color w:val="000000"/>
          <w:sz w:val="24"/>
          <w:szCs w:val="24"/>
          <w:highlight w:val="white"/>
        </w:rPr>
        <w:t>UE chce zmienić sposób produkcji i konsumpcji żywności w Europie</w:t>
      </w:r>
      <w:r w:rsidRPr="00CD1D88">
        <w:rPr>
          <w:rFonts w:ascii="Arial" w:eastAsia="Arial" w:hAnsi="Arial" w:cs="Arial"/>
          <w:color w:val="000000"/>
          <w:sz w:val="24"/>
          <w:szCs w:val="24"/>
        </w:rPr>
        <w:t>, mając głównie na celu:</w:t>
      </w:r>
      <w:r w:rsidRPr="00CD1D88">
        <w:rPr>
          <w:rFonts w:ascii="Arial" w:eastAsia="Arial" w:hAnsi="Arial" w:cs="Arial"/>
          <w:color w:val="000000"/>
          <w:sz w:val="24"/>
          <w:szCs w:val="24"/>
        </w:rPr>
        <w:br/>
      </w:r>
    </w:p>
    <w:p w14:paraId="53151D14" w14:textId="77777777" w:rsidR="00DC6D38" w:rsidRPr="00CD1D88" w:rsidRDefault="00DC6D38" w:rsidP="00CD1D88">
      <w:pPr>
        <w:numPr>
          <w:ilvl w:val="0"/>
          <w:numId w:val="5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il"/>
        </w:pBdr>
        <w:spacing w:after="0" w:line="360" w:lineRule="auto"/>
        <w:ind w:hanging="360"/>
        <w:rPr>
          <w:rFonts w:ascii="Arial" w:hAnsi="Arial" w:cs="Arial"/>
          <w:color w:val="000000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</w:rPr>
        <w:t xml:space="preserve">Zmniejszenie śladu ekologicznego systemów żywnościowych  </w:t>
      </w:r>
    </w:p>
    <w:p w14:paraId="6C096F84" w14:textId="77777777" w:rsidR="00DC6D38" w:rsidRPr="00CD1D88" w:rsidRDefault="00DC6D38" w:rsidP="00CD1D88">
      <w:pPr>
        <w:numPr>
          <w:ilvl w:val="0"/>
          <w:numId w:val="5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il"/>
        </w:pBdr>
        <w:spacing w:after="0" w:line="360" w:lineRule="auto"/>
        <w:ind w:hanging="360"/>
        <w:rPr>
          <w:rFonts w:ascii="Arial" w:hAnsi="Arial" w:cs="Arial"/>
          <w:color w:val="000000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</w:rPr>
        <w:t xml:space="preserve"> Poprawę odporności na kryzysy </w:t>
      </w:r>
    </w:p>
    <w:p w14:paraId="41080055" w14:textId="77777777" w:rsidR="00DC6D38" w:rsidRPr="00CD1D88" w:rsidRDefault="00DC6D38" w:rsidP="00CD1D88">
      <w:pPr>
        <w:numPr>
          <w:ilvl w:val="0"/>
          <w:numId w:val="5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il"/>
        </w:pBdr>
        <w:spacing w:after="0" w:line="360" w:lineRule="auto"/>
        <w:ind w:hanging="360"/>
        <w:rPr>
          <w:rFonts w:ascii="Arial" w:hAnsi="Arial" w:cs="Arial"/>
          <w:color w:val="000000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</w:rPr>
        <w:t xml:space="preserve">  Dalsze dostarczanie zdrowej i przystępnej cenowo żywności dla przyszłych pokoleń</w:t>
      </w:r>
    </w:p>
    <w:p w14:paraId="6B018D93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after="0" w:line="360" w:lineRule="auto"/>
        <w:ind w:left="709"/>
        <w:jc w:val="center"/>
        <w:rPr>
          <w:rFonts w:ascii="Arial" w:hAnsi="Arial" w:cs="Arial"/>
          <w:b/>
          <w:sz w:val="24"/>
          <w:szCs w:val="24"/>
        </w:rPr>
      </w:pPr>
    </w:p>
    <w:p w14:paraId="35A1324B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FFFFFF"/>
        <w:spacing w:after="0" w:line="360" w:lineRule="auto"/>
        <w:jc w:val="center"/>
        <w:rPr>
          <w:rFonts w:ascii="Arial" w:hAnsi="Arial" w:cs="Arial"/>
          <w:b/>
          <w:color w:val="000000"/>
          <w:sz w:val="24"/>
          <w:szCs w:val="24"/>
        </w:rPr>
      </w:pPr>
      <w:r w:rsidRPr="00CD1D88">
        <w:rPr>
          <w:rFonts w:ascii="Arial" w:eastAsia="Arial" w:hAnsi="Arial" w:cs="Arial"/>
          <w:b/>
          <w:color w:val="000000"/>
          <w:sz w:val="24"/>
          <w:szCs w:val="24"/>
          <w:highlight w:val="white"/>
        </w:rPr>
        <w:t xml:space="preserve">Strategia „od pola do stołu” </w:t>
      </w:r>
    </w:p>
    <w:p w14:paraId="041344B0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FFFFFF"/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</w:p>
    <w:p w14:paraId="723EB474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FFFFFF"/>
        <w:spacing w:after="0" w:line="360" w:lineRule="auto"/>
        <w:ind w:firstLine="708"/>
        <w:rPr>
          <w:rFonts w:ascii="Arial" w:hAnsi="Arial" w:cs="Arial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  <w:highlight w:val="white"/>
        </w:rPr>
        <w:t xml:space="preserve"> W maju 2020 r. Komisja Europejska przedstawiła  strategię „Od pola do stołu” jako jedno z głównych działań Europejskiego Zielonego Ładu. Strategia ta ma na celu osiągnięcie neutralności klimatycznej do 2050 r. przy jednoczesnym przekształceniu obecnego systemu żywnościowego UE w zrównoważony model. Bezpieczeństwo żywnościowe jest priorytetem, ale strategia ma również na celu przede wszystkim:</w:t>
      </w:r>
    </w:p>
    <w:p w14:paraId="6A9DBFE6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FFFFFF"/>
        <w:spacing w:after="0" w:line="360" w:lineRule="auto"/>
        <w:ind w:firstLine="708"/>
        <w:rPr>
          <w:rFonts w:ascii="Arial" w:hAnsi="Arial" w:cs="Arial"/>
          <w:sz w:val="24"/>
          <w:szCs w:val="24"/>
        </w:rPr>
      </w:pPr>
    </w:p>
    <w:p w14:paraId="40D7BAD6" w14:textId="77777777" w:rsidR="00DC6D38" w:rsidRPr="00CD1D88" w:rsidRDefault="00DC6D38" w:rsidP="00CD1D88">
      <w:pPr>
        <w:numPr>
          <w:ilvl w:val="0"/>
          <w:numId w:val="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il"/>
        </w:pBdr>
        <w:shd w:val="clear" w:color="auto" w:fill="FFFFFF"/>
        <w:spacing w:after="0" w:line="360" w:lineRule="auto"/>
        <w:rPr>
          <w:rFonts w:ascii="Arial" w:hAnsi="Arial" w:cs="Arial"/>
          <w:color w:val="000000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  <w:highlight w:val="white"/>
        </w:rPr>
        <w:t xml:space="preserve">Zapewnić odpowiednią podaż niedrogiej, pożywnej żywności w ramach zasobów planety </w:t>
      </w:r>
    </w:p>
    <w:p w14:paraId="2F278D3E" w14:textId="77777777" w:rsidR="00DC6D38" w:rsidRPr="00CD1D88" w:rsidRDefault="00DC6D38" w:rsidP="00CD1D88">
      <w:pPr>
        <w:numPr>
          <w:ilvl w:val="0"/>
          <w:numId w:val="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il"/>
        </w:pBdr>
        <w:shd w:val="clear" w:color="auto" w:fill="FFFFFF"/>
        <w:spacing w:after="0" w:line="360" w:lineRule="auto"/>
        <w:rPr>
          <w:rFonts w:ascii="Arial" w:hAnsi="Arial" w:cs="Arial"/>
          <w:color w:val="000000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  <w:highlight w:val="white"/>
        </w:rPr>
        <w:t xml:space="preserve"> Zmniejszyć o połowę zużycie pestycydów i nawozów oraz sprzedawać środki przeciwdrobnoustrojowe </w:t>
      </w:r>
    </w:p>
    <w:p w14:paraId="1B6253C6" w14:textId="77777777" w:rsidR="00DC6D38" w:rsidRPr="00CD1D88" w:rsidRDefault="00DC6D38" w:rsidP="00CD1D88">
      <w:pPr>
        <w:numPr>
          <w:ilvl w:val="0"/>
          <w:numId w:val="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il"/>
        </w:pBdr>
        <w:shd w:val="clear" w:color="auto" w:fill="FFFFFF"/>
        <w:spacing w:after="0" w:line="360" w:lineRule="auto"/>
        <w:rPr>
          <w:rFonts w:ascii="Arial" w:hAnsi="Arial" w:cs="Arial"/>
          <w:color w:val="000000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  <w:highlight w:val="white"/>
        </w:rPr>
        <w:lastRenderedPageBreak/>
        <w:t xml:space="preserve"> Zwiększyć obszar przeznaczony na rolnictwo ekologiczne </w:t>
      </w:r>
    </w:p>
    <w:p w14:paraId="26349B03" w14:textId="77777777" w:rsidR="00DC6D38" w:rsidRPr="00CD1D88" w:rsidRDefault="00DC6D38" w:rsidP="00CD1D88">
      <w:pPr>
        <w:numPr>
          <w:ilvl w:val="0"/>
          <w:numId w:val="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il"/>
        </w:pBdr>
        <w:shd w:val="clear" w:color="auto" w:fill="FFFFFF"/>
        <w:spacing w:after="0" w:line="360" w:lineRule="auto"/>
        <w:rPr>
          <w:rFonts w:ascii="Arial" w:hAnsi="Arial" w:cs="Arial"/>
          <w:color w:val="000000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  <w:highlight w:val="white"/>
        </w:rPr>
        <w:t xml:space="preserve"> Promować przystępną cenowo zdrową, ekologiczną żywność i prozdrowotne odżywianie </w:t>
      </w:r>
    </w:p>
    <w:p w14:paraId="4B2B91E3" w14:textId="77777777" w:rsidR="00DC6D38" w:rsidRPr="00CD1D88" w:rsidRDefault="00DC6D38" w:rsidP="00CD1D88">
      <w:pPr>
        <w:numPr>
          <w:ilvl w:val="0"/>
          <w:numId w:val="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il"/>
        </w:pBdr>
        <w:shd w:val="clear" w:color="auto" w:fill="FFFFFF"/>
        <w:spacing w:after="0" w:line="360" w:lineRule="auto"/>
        <w:rPr>
          <w:rFonts w:ascii="Arial" w:hAnsi="Arial" w:cs="Arial"/>
          <w:color w:val="000000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  <w:highlight w:val="white"/>
        </w:rPr>
        <w:t xml:space="preserve"> Zminimalizować marnowanie żywności </w:t>
      </w:r>
    </w:p>
    <w:p w14:paraId="61889C76" w14:textId="77777777" w:rsidR="00DC6D38" w:rsidRPr="00CD1D88" w:rsidRDefault="00DC6D38" w:rsidP="00CD1D88">
      <w:pPr>
        <w:numPr>
          <w:ilvl w:val="0"/>
          <w:numId w:val="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il"/>
        </w:pBdr>
        <w:shd w:val="clear" w:color="auto" w:fill="FFFFFF"/>
        <w:spacing w:after="0" w:line="360" w:lineRule="auto"/>
        <w:rPr>
          <w:rFonts w:ascii="Arial" w:hAnsi="Arial" w:cs="Arial"/>
          <w:color w:val="000000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  <w:highlight w:val="white"/>
        </w:rPr>
        <w:t xml:space="preserve"> Zwalczać oszustwa związane z żywnością w łańcuchach dostaw </w:t>
      </w:r>
    </w:p>
    <w:p w14:paraId="50E74364" w14:textId="77777777" w:rsidR="00DC6D38" w:rsidRPr="00CD1D88" w:rsidRDefault="00DC6D38" w:rsidP="00CD1D88">
      <w:pPr>
        <w:numPr>
          <w:ilvl w:val="0"/>
          <w:numId w:val="6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il"/>
        </w:pBdr>
        <w:shd w:val="clear" w:color="auto" w:fill="FFFFFF"/>
        <w:spacing w:after="0" w:line="360" w:lineRule="auto"/>
        <w:rPr>
          <w:rFonts w:ascii="Arial" w:hAnsi="Arial" w:cs="Arial"/>
          <w:color w:val="000000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  <w:highlight w:val="white"/>
        </w:rPr>
        <w:t xml:space="preserve"> Poprawić dobrostan zwierząt pod każdym względem.</w:t>
      </w:r>
      <w:r w:rsidRPr="00CD1D88">
        <w:rPr>
          <w:rFonts w:ascii="Arial" w:eastAsia="Arial" w:hAnsi="Arial" w:cs="Arial"/>
          <w:color w:val="000000"/>
          <w:sz w:val="24"/>
          <w:szCs w:val="24"/>
        </w:rPr>
        <w:t xml:space="preserve"> </w:t>
      </w:r>
      <w:r w:rsidRPr="00CD1D88">
        <w:rPr>
          <w:rFonts w:ascii="Arial" w:eastAsia="Arial" w:hAnsi="Arial" w:cs="Arial"/>
          <w:color w:val="000000"/>
          <w:sz w:val="24"/>
          <w:szCs w:val="24"/>
        </w:rPr>
        <w:br/>
      </w:r>
    </w:p>
    <w:p w14:paraId="53113C14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FFFFFF"/>
        <w:spacing w:after="0" w:line="360" w:lineRule="auto"/>
        <w:rPr>
          <w:rFonts w:ascii="Arial" w:hAnsi="Arial" w:cs="Arial"/>
          <w:sz w:val="24"/>
          <w:szCs w:val="24"/>
        </w:rPr>
      </w:pPr>
    </w:p>
    <w:p w14:paraId="573AA28E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FFFFFF"/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CD1D88">
        <w:rPr>
          <w:rFonts w:ascii="Arial" w:eastAsia="Arial" w:hAnsi="Arial" w:cs="Arial"/>
          <w:b/>
          <w:sz w:val="24"/>
          <w:szCs w:val="24"/>
        </w:rPr>
        <w:t>Zredukowanie o 50% zużycia pestycydów do 2030 r.</w:t>
      </w:r>
    </w:p>
    <w:p w14:paraId="7F7B12E0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after="0" w:line="360" w:lineRule="auto"/>
        <w:rPr>
          <w:rFonts w:ascii="Arial" w:hAnsi="Arial" w:cs="Arial"/>
          <w:sz w:val="24"/>
          <w:szCs w:val="24"/>
        </w:rPr>
      </w:pPr>
    </w:p>
    <w:p w14:paraId="2F900DCB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after="0" w:line="360" w:lineRule="auto"/>
        <w:ind w:firstLine="708"/>
        <w:rPr>
          <w:rFonts w:ascii="Arial" w:hAnsi="Arial" w:cs="Arial"/>
          <w:color w:val="000000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</w:rPr>
        <w:t xml:space="preserve">Strategia ta obejmuje różne inicjatywy i projekty legislacyjne, m.in. w następujących obszarach:  </w:t>
      </w:r>
    </w:p>
    <w:p w14:paraId="446DE64F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after="0" w:line="360" w:lineRule="auto"/>
        <w:ind w:firstLine="708"/>
        <w:rPr>
          <w:rFonts w:ascii="Arial" w:hAnsi="Arial" w:cs="Arial"/>
          <w:color w:val="000000"/>
          <w:sz w:val="24"/>
          <w:szCs w:val="24"/>
        </w:rPr>
      </w:pPr>
    </w:p>
    <w:p w14:paraId="47293C11" w14:textId="77777777" w:rsidR="00DC6D38" w:rsidRPr="00CD1D88" w:rsidRDefault="00DC6D38" w:rsidP="00CD1D88">
      <w:pPr>
        <w:numPr>
          <w:ilvl w:val="0"/>
          <w:numId w:val="7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il"/>
        </w:pBdr>
        <w:spacing w:after="0" w:line="360" w:lineRule="auto"/>
        <w:rPr>
          <w:rFonts w:ascii="Arial" w:hAnsi="Arial" w:cs="Arial"/>
          <w:color w:val="000000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</w:rPr>
        <w:t>Ekologiczne rolnictwo</w:t>
      </w:r>
    </w:p>
    <w:p w14:paraId="13F22A13" w14:textId="77777777" w:rsidR="00DC6D38" w:rsidRPr="00CD1D88" w:rsidRDefault="00DC6D38" w:rsidP="00CD1D88">
      <w:pPr>
        <w:numPr>
          <w:ilvl w:val="0"/>
          <w:numId w:val="7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il"/>
        </w:pBdr>
        <w:spacing w:after="0" w:line="360" w:lineRule="auto"/>
        <w:rPr>
          <w:rFonts w:ascii="Arial" w:hAnsi="Arial" w:cs="Arial"/>
          <w:color w:val="000000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  <w:highlight w:val="white"/>
        </w:rPr>
        <w:t xml:space="preserve">Komunikat dotyczący odżywiania i zrównoważonego rozwoju na pierwszej stronie opakowania </w:t>
      </w:r>
    </w:p>
    <w:p w14:paraId="4C44E2D5" w14:textId="77777777" w:rsidR="00DC6D38" w:rsidRPr="00CD1D88" w:rsidRDefault="00DC6D38" w:rsidP="00CD1D88">
      <w:pPr>
        <w:numPr>
          <w:ilvl w:val="0"/>
          <w:numId w:val="7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il"/>
        </w:pBdr>
        <w:spacing w:after="0" w:line="360" w:lineRule="auto"/>
        <w:rPr>
          <w:rFonts w:ascii="Arial" w:hAnsi="Arial" w:cs="Arial"/>
          <w:color w:val="000000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  <w:highlight w:val="white"/>
        </w:rPr>
        <w:t>Ograniczanie marnowania żywności</w:t>
      </w:r>
      <w:r w:rsidRPr="00CD1D88">
        <w:rPr>
          <w:rFonts w:ascii="Arial" w:eastAsia="Arial" w:hAnsi="Arial" w:cs="Arial"/>
          <w:color w:val="000000"/>
          <w:sz w:val="24"/>
          <w:szCs w:val="24"/>
        </w:rPr>
        <w:t xml:space="preserve"> </w:t>
      </w:r>
    </w:p>
    <w:p w14:paraId="09BEED9C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after="0" w:line="360" w:lineRule="auto"/>
        <w:rPr>
          <w:rFonts w:ascii="Arial" w:hAnsi="Arial" w:cs="Arial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</w:rPr>
        <w:t xml:space="preserve"> </w:t>
      </w:r>
    </w:p>
    <w:p w14:paraId="7CAE202F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after="0" w:line="360" w:lineRule="auto"/>
        <w:ind w:firstLine="708"/>
        <w:rPr>
          <w:rFonts w:ascii="Arial" w:hAnsi="Arial" w:cs="Arial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</w:rPr>
        <w:t xml:space="preserve">Bardziej zrównoważony system żywnościowy pomaga </w:t>
      </w:r>
      <w:r w:rsidRPr="00CD1D88">
        <w:rPr>
          <w:rFonts w:ascii="Arial" w:hAnsi="Arial" w:cs="Arial"/>
          <w:sz w:val="24"/>
          <w:szCs w:val="24"/>
        </w:rPr>
        <w:t>c</w:t>
      </w:r>
      <w:r w:rsidRPr="00CD1D88">
        <w:rPr>
          <w:rFonts w:ascii="Arial" w:eastAsia="Arial" w:hAnsi="Arial" w:cs="Arial"/>
          <w:color w:val="000000"/>
          <w:sz w:val="24"/>
          <w:szCs w:val="24"/>
        </w:rPr>
        <w:t>hronić europejską przyrodę i różnorodność biologiczną. Strategia „od pola do stołu” jest zgodna z unijną strategią ochrony różnorodności biologicznej do 2030 r., a oba wnioski wzajemnie się uzupełniają.</w:t>
      </w:r>
      <w:r w:rsidRPr="00CD1D88">
        <w:rPr>
          <w:rFonts w:ascii="Arial" w:hAnsi="Arial" w:cs="Arial"/>
          <w:sz w:val="24"/>
          <w:szCs w:val="24"/>
        </w:rPr>
        <w:br/>
      </w:r>
      <w:r w:rsidRPr="00CD1D88">
        <w:rPr>
          <w:rFonts w:ascii="Arial" w:hAnsi="Arial" w:cs="Arial"/>
          <w:sz w:val="24"/>
          <w:szCs w:val="24"/>
        </w:rPr>
        <w:tab/>
      </w:r>
      <w:r w:rsidRPr="00CD1D88">
        <w:rPr>
          <w:rFonts w:ascii="Arial" w:eastAsia="Arial" w:hAnsi="Arial" w:cs="Arial"/>
          <w:color w:val="000000"/>
          <w:sz w:val="24"/>
          <w:szCs w:val="24"/>
          <w:highlight w:val="white"/>
        </w:rPr>
        <w:t>Jednym z głównych celów reformy wspólnej polityki rolnej (WPR) jest modernizacja rolnictwa poprzez rozwijanie bardziej zrównoważonych praktyk rolniczych przy jednoczesnej ochronie przyrody i przeciwdziałaniu zmianom klimatycznym. WPR jest zatem ściśle powiązana z celami strategii „od pola do stołu”.</w:t>
      </w:r>
      <w:r w:rsidRPr="00CD1D88">
        <w:rPr>
          <w:rFonts w:ascii="Arial" w:hAnsi="Arial" w:cs="Arial"/>
          <w:sz w:val="24"/>
          <w:szCs w:val="24"/>
        </w:rPr>
        <w:t xml:space="preserve"> </w:t>
      </w:r>
    </w:p>
    <w:p w14:paraId="3F1592DA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after="0" w:line="360" w:lineRule="auto"/>
        <w:ind w:firstLine="708"/>
        <w:rPr>
          <w:rFonts w:ascii="Arial" w:hAnsi="Arial" w:cs="Arial"/>
          <w:color w:val="000000"/>
          <w:sz w:val="24"/>
          <w:szCs w:val="24"/>
        </w:rPr>
      </w:pPr>
    </w:p>
    <w:p w14:paraId="39AF7EB3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FFFFFF"/>
        <w:spacing w:after="0" w:line="360" w:lineRule="auto"/>
        <w:jc w:val="center"/>
        <w:rPr>
          <w:rFonts w:ascii="Arial" w:hAnsi="Arial" w:cs="Arial"/>
          <w:b/>
          <w:color w:val="000000"/>
          <w:sz w:val="24"/>
          <w:szCs w:val="24"/>
        </w:rPr>
      </w:pPr>
      <w:r w:rsidRPr="00CD1D88">
        <w:rPr>
          <w:rFonts w:ascii="Arial" w:eastAsia="Arial" w:hAnsi="Arial" w:cs="Arial"/>
          <w:b/>
          <w:color w:val="000000"/>
          <w:sz w:val="24"/>
          <w:szCs w:val="24"/>
          <w:highlight w:val="white"/>
        </w:rPr>
        <w:t xml:space="preserve">Rola </w:t>
      </w:r>
      <w:r w:rsidRPr="00CD1D88">
        <w:rPr>
          <w:rFonts w:ascii="Arial" w:eastAsia="Arial" w:hAnsi="Arial" w:cs="Arial"/>
          <w:b/>
          <w:color w:val="000000"/>
          <w:sz w:val="24"/>
          <w:szCs w:val="24"/>
        </w:rPr>
        <w:t>Rady</w:t>
      </w:r>
    </w:p>
    <w:p w14:paraId="1C9C7A23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FFFFFF"/>
        <w:spacing w:after="0" w:line="360" w:lineRule="auto"/>
        <w:jc w:val="center"/>
        <w:rPr>
          <w:rFonts w:ascii="Arial" w:hAnsi="Arial" w:cs="Arial"/>
          <w:sz w:val="24"/>
          <w:szCs w:val="24"/>
        </w:rPr>
      </w:pPr>
    </w:p>
    <w:p w14:paraId="3A0653C7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FFFFFF"/>
        <w:spacing w:after="0" w:line="360" w:lineRule="auto"/>
        <w:rPr>
          <w:rFonts w:ascii="Arial" w:hAnsi="Arial" w:cs="Arial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  <w:highlight w:val="white"/>
        </w:rPr>
        <w:t xml:space="preserve"> </w:t>
      </w:r>
      <w:r w:rsidRPr="00CD1D88">
        <w:rPr>
          <w:rFonts w:ascii="Arial" w:eastAsia="Arial" w:hAnsi="Arial" w:cs="Arial"/>
          <w:color w:val="000000"/>
          <w:sz w:val="24"/>
          <w:szCs w:val="24"/>
          <w:highlight w:val="white"/>
        </w:rPr>
        <w:tab/>
        <w:t xml:space="preserve">Strategia „od pola do stołu” obejmuje szereg działań ustawodawczych i </w:t>
      </w:r>
      <w:proofErr w:type="spellStart"/>
      <w:r w:rsidRPr="00CD1D88">
        <w:rPr>
          <w:rFonts w:ascii="Arial" w:eastAsia="Arial" w:hAnsi="Arial" w:cs="Arial"/>
          <w:color w:val="000000"/>
          <w:sz w:val="24"/>
          <w:szCs w:val="24"/>
          <w:highlight w:val="white"/>
        </w:rPr>
        <w:t>nielegislacyjnych</w:t>
      </w:r>
      <w:proofErr w:type="spellEnd"/>
      <w:r w:rsidRPr="00CD1D88">
        <w:rPr>
          <w:rFonts w:ascii="Arial" w:eastAsia="Arial" w:hAnsi="Arial" w:cs="Arial"/>
          <w:color w:val="000000"/>
          <w:sz w:val="24"/>
          <w:szCs w:val="24"/>
          <w:highlight w:val="white"/>
        </w:rPr>
        <w:t xml:space="preserve"> zaproponowanych przez </w:t>
      </w:r>
      <w:proofErr w:type="spellStart"/>
      <w:r w:rsidRPr="00CD1D88">
        <w:rPr>
          <w:rFonts w:ascii="Arial" w:eastAsia="Arial" w:hAnsi="Arial" w:cs="Arial"/>
          <w:color w:val="000000"/>
          <w:sz w:val="24"/>
          <w:szCs w:val="24"/>
          <w:highlight w:val="white"/>
        </w:rPr>
        <w:t>Komisję.W</w:t>
      </w:r>
      <w:proofErr w:type="spellEnd"/>
      <w:r w:rsidRPr="00CD1D88">
        <w:rPr>
          <w:rFonts w:ascii="Arial" w:eastAsia="Arial" w:hAnsi="Arial" w:cs="Arial"/>
          <w:color w:val="000000"/>
          <w:sz w:val="24"/>
          <w:szCs w:val="24"/>
          <w:highlight w:val="white"/>
        </w:rPr>
        <w:t xml:space="preserve"> październiku 2020 r. Rada przyjęła konkluzje w sprawie strategii „Od pola do stołu”, w których poparła cel, jakim </w:t>
      </w:r>
      <w:r w:rsidRPr="00CD1D88">
        <w:rPr>
          <w:rFonts w:ascii="Arial" w:eastAsia="Arial" w:hAnsi="Arial" w:cs="Arial"/>
          <w:color w:val="000000"/>
          <w:sz w:val="24"/>
          <w:szCs w:val="24"/>
          <w:highlight w:val="white"/>
        </w:rPr>
        <w:lastRenderedPageBreak/>
        <w:t>jest rozwój zrównoważonego europejskiego  systemu żywnościowego od produkcji do stołu. Konkluzja zawiera trzy przesłania polityczne ze strony państw członkowskich, które zobowiązują się do zapewnienia:</w:t>
      </w:r>
    </w:p>
    <w:p w14:paraId="1FC8C293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pacing w:after="0" w:line="360" w:lineRule="auto"/>
        <w:rPr>
          <w:rFonts w:ascii="Arial" w:hAnsi="Arial" w:cs="Arial"/>
          <w:sz w:val="24"/>
          <w:szCs w:val="24"/>
        </w:rPr>
      </w:pPr>
    </w:p>
    <w:p w14:paraId="73DD4D9A" w14:textId="77777777" w:rsidR="00DC6D38" w:rsidRPr="00CD1D88" w:rsidRDefault="00DC6D38" w:rsidP="00CD1D88">
      <w:pPr>
        <w:numPr>
          <w:ilvl w:val="0"/>
          <w:numId w:val="2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il"/>
        </w:pBdr>
        <w:spacing w:after="0" w:line="360" w:lineRule="auto"/>
        <w:ind w:hanging="360"/>
        <w:rPr>
          <w:rFonts w:ascii="Arial" w:hAnsi="Arial" w:cs="Arial"/>
          <w:color w:val="000000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</w:rPr>
        <w:t xml:space="preserve">Zapewnienie odpowiedniej i przystępnej cenowo żywności, przyczyniając się jednocześnie do neutralności klimatycznej UE do 2050r.   </w:t>
      </w:r>
    </w:p>
    <w:p w14:paraId="0BF702BC" w14:textId="77777777" w:rsidR="00DC6D38" w:rsidRPr="00CD1D88" w:rsidRDefault="00DC6D38" w:rsidP="00CD1D88">
      <w:pPr>
        <w:numPr>
          <w:ilvl w:val="0"/>
          <w:numId w:val="2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il"/>
        </w:pBdr>
        <w:spacing w:after="0" w:line="360" w:lineRule="auto"/>
        <w:ind w:hanging="360"/>
        <w:rPr>
          <w:rFonts w:ascii="Arial" w:hAnsi="Arial" w:cs="Arial"/>
          <w:color w:val="000000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</w:rPr>
        <w:t xml:space="preserve">Godziwy dochód i silne wsparcie dla producentów surowców </w:t>
      </w:r>
    </w:p>
    <w:p w14:paraId="1E30AE75" w14:textId="77777777" w:rsidR="00DC6D38" w:rsidRPr="00CD1D88" w:rsidRDefault="00DC6D38" w:rsidP="00CD1D88">
      <w:pPr>
        <w:numPr>
          <w:ilvl w:val="0"/>
          <w:numId w:val="2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il"/>
        </w:pBdr>
        <w:spacing w:after="0" w:line="360" w:lineRule="auto"/>
        <w:ind w:hanging="360"/>
        <w:rPr>
          <w:rFonts w:ascii="Arial" w:hAnsi="Arial" w:cs="Arial"/>
          <w:color w:val="000000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</w:rPr>
        <w:t xml:space="preserve">  Globalna konkurencyjność unijnego rolnictwa</w:t>
      </w:r>
    </w:p>
    <w:p w14:paraId="4CA16EE8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FFFFFF"/>
        <w:spacing w:after="0" w:line="360" w:lineRule="auto"/>
        <w:ind w:firstLine="708"/>
        <w:rPr>
          <w:rFonts w:ascii="Arial" w:hAnsi="Arial" w:cs="Arial"/>
          <w:sz w:val="24"/>
          <w:szCs w:val="24"/>
        </w:rPr>
      </w:pPr>
    </w:p>
    <w:p w14:paraId="6828A128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FFFFFF"/>
        <w:spacing w:after="0" w:line="360" w:lineRule="auto"/>
        <w:jc w:val="center"/>
        <w:rPr>
          <w:rFonts w:ascii="Arial" w:hAnsi="Arial" w:cs="Arial"/>
          <w:b/>
          <w:color w:val="000000"/>
          <w:sz w:val="24"/>
          <w:szCs w:val="24"/>
        </w:rPr>
      </w:pPr>
      <w:r w:rsidRPr="00CD1D88">
        <w:rPr>
          <w:rFonts w:ascii="Arial" w:eastAsia="Arial" w:hAnsi="Arial" w:cs="Arial"/>
          <w:b/>
          <w:color w:val="000000"/>
          <w:sz w:val="24"/>
          <w:szCs w:val="24"/>
        </w:rPr>
        <w:t>Strategia</w:t>
      </w:r>
      <w:r w:rsidRPr="00CD1D88">
        <w:rPr>
          <w:rFonts w:ascii="Arial" w:eastAsia="Arial" w:hAnsi="Arial" w:cs="Arial"/>
          <w:b/>
          <w:color w:val="000000"/>
          <w:sz w:val="24"/>
          <w:szCs w:val="24"/>
          <w:highlight w:val="white"/>
        </w:rPr>
        <w:t xml:space="preserve"> działania na rzecz rolnictwa ekologicznego </w:t>
      </w:r>
    </w:p>
    <w:p w14:paraId="79BB646D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FFFFFF"/>
        <w:spacing w:after="0" w:line="360" w:lineRule="auto"/>
        <w:jc w:val="center"/>
        <w:rPr>
          <w:rFonts w:ascii="Arial" w:hAnsi="Arial" w:cs="Arial"/>
          <w:sz w:val="24"/>
          <w:szCs w:val="24"/>
        </w:rPr>
      </w:pPr>
    </w:p>
    <w:p w14:paraId="2508B531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FFFFFF"/>
        <w:spacing w:after="0" w:line="360" w:lineRule="auto"/>
        <w:rPr>
          <w:rFonts w:ascii="Arial" w:hAnsi="Arial" w:cs="Arial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  <w:highlight w:val="white"/>
        </w:rPr>
        <w:t xml:space="preserve"> </w:t>
      </w:r>
      <w:r w:rsidRPr="00CD1D88">
        <w:rPr>
          <w:rFonts w:ascii="Arial" w:eastAsia="Arial" w:hAnsi="Arial" w:cs="Arial"/>
          <w:color w:val="000000"/>
          <w:sz w:val="24"/>
          <w:szCs w:val="24"/>
          <w:highlight w:val="white"/>
        </w:rPr>
        <w:tab/>
        <w:t>Przedstawiony przez Komisję Europejską w marcu 2021 r. w ramach strategii „od pola do stołu” plan działania na rzecz rolnictwa ekologicznego określa plan działań mający na celu rozszerzenie rolnictwa ekologicznego w UE. Głównym celem jest zwiększenie produkcji ekologicznej tak, aby do 2030 roku 25% użytków rolnych było wykorzystywane pod rolnictwo ekologiczne. Zachęca się państwa członkowskie UE  do opracowania krajowych planów rolnictwa ekologicznego.</w:t>
      </w:r>
    </w:p>
    <w:p w14:paraId="5A1BDB90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FFFFFF"/>
        <w:spacing w:after="0" w:line="360" w:lineRule="auto"/>
        <w:rPr>
          <w:rFonts w:ascii="Arial" w:hAnsi="Arial" w:cs="Arial"/>
          <w:sz w:val="24"/>
          <w:szCs w:val="24"/>
        </w:rPr>
      </w:pPr>
    </w:p>
    <w:p w14:paraId="79C2F714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FFFFFF"/>
        <w:spacing w:after="0" w:line="360" w:lineRule="auto"/>
        <w:jc w:val="center"/>
        <w:rPr>
          <w:rFonts w:ascii="Arial" w:hAnsi="Arial" w:cs="Arial"/>
          <w:b/>
          <w:color w:val="000000"/>
          <w:sz w:val="24"/>
          <w:szCs w:val="24"/>
        </w:rPr>
      </w:pPr>
      <w:r w:rsidRPr="00CD1D88">
        <w:rPr>
          <w:rFonts w:ascii="Arial" w:eastAsia="Arial" w:hAnsi="Arial" w:cs="Arial"/>
          <w:b/>
          <w:color w:val="000000"/>
          <w:sz w:val="24"/>
          <w:szCs w:val="24"/>
          <w:highlight w:val="white"/>
        </w:rPr>
        <w:t xml:space="preserve">Rolnictwo regeneracyjne </w:t>
      </w:r>
    </w:p>
    <w:p w14:paraId="478DBD51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FFFFFF"/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</w:p>
    <w:p w14:paraId="23A49A6E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FFFFFF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  <w:highlight w:val="white"/>
        </w:rPr>
        <w:t xml:space="preserve"> </w:t>
      </w:r>
      <w:r w:rsidRPr="00CD1D88">
        <w:rPr>
          <w:rFonts w:ascii="Arial" w:eastAsia="Arial" w:hAnsi="Arial" w:cs="Arial"/>
          <w:color w:val="000000"/>
          <w:sz w:val="24"/>
          <w:szCs w:val="24"/>
          <w:highlight w:val="white"/>
        </w:rPr>
        <w:tab/>
        <w:t xml:space="preserve">Rolnictwo i leśnictwo mogą odgrywać ważną rolę w walce ze zmianami klimatycznymi poprzez pochłanianie dwutlenku węgla z atmosfery. W kwietniu 2022 r. Rada przyjęła konkluzje w sprawie rolnictwa regeneracyjnego na podstawie sprawozdania Komisji z grudnia 2021 r. w sprawie zrównoważonego obiegu węgla. Ich celem jest promowanie praktyk rolniczych, które pomagają wychwytywać węgiel z atmosfery i przechowywać go w sposób zrównoważony  w glebie i biomasie. </w:t>
      </w:r>
    </w:p>
    <w:p w14:paraId="7CC524CE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FFFFFF"/>
        <w:spacing w:after="0" w:line="360" w:lineRule="auto"/>
        <w:jc w:val="both"/>
        <w:rPr>
          <w:rFonts w:ascii="Arial" w:hAnsi="Arial" w:cs="Arial"/>
          <w:color w:val="000000"/>
          <w:sz w:val="24"/>
          <w:szCs w:val="24"/>
          <w:highlight w:val="white"/>
        </w:rPr>
      </w:pPr>
      <w:r w:rsidRPr="00CD1D88">
        <w:rPr>
          <w:rFonts w:ascii="Arial" w:eastAsia="Arial" w:hAnsi="Arial" w:cs="Arial"/>
          <w:color w:val="000000"/>
          <w:sz w:val="24"/>
          <w:szCs w:val="24"/>
          <w:highlight w:val="white"/>
        </w:rPr>
        <w:t xml:space="preserve"> Praktyki korzystne dla klimatu mogą obejmować: </w:t>
      </w:r>
    </w:p>
    <w:p w14:paraId="3221F18A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FFFFFF"/>
        <w:spacing w:after="0" w:line="360" w:lineRule="auto"/>
        <w:jc w:val="both"/>
        <w:rPr>
          <w:rFonts w:ascii="Arial" w:hAnsi="Arial" w:cs="Arial"/>
          <w:color w:val="000000"/>
          <w:sz w:val="24"/>
          <w:szCs w:val="24"/>
        </w:rPr>
      </w:pPr>
    </w:p>
    <w:p w14:paraId="5B3C1AF7" w14:textId="77777777" w:rsidR="00DC6D38" w:rsidRPr="00CD1D88" w:rsidRDefault="00DC6D38" w:rsidP="00CD1D88">
      <w:pPr>
        <w:numPr>
          <w:ilvl w:val="0"/>
          <w:numId w:val="4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il"/>
        </w:pBdr>
        <w:shd w:val="clear" w:color="auto" w:fill="FFFFFF"/>
        <w:spacing w:after="0" w:line="360" w:lineRule="auto"/>
        <w:ind w:hanging="360"/>
        <w:jc w:val="both"/>
        <w:rPr>
          <w:rFonts w:ascii="Arial" w:hAnsi="Arial" w:cs="Arial"/>
          <w:color w:val="000000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</w:rPr>
        <w:t xml:space="preserve">Sadzenie żywopłotów lub drzew </w:t>
      </w:r>
    </w:p>
    <w:p w14:paraId="2BE35BC9" w14:textId="77777777" w:rsidR="00DC6D38" w:rsidRPr="00CD1D88" w:rsidRDefault="00DC6D38" w:rsidP="00CD1D88">
      <w:pPr>
        <w:numPr>
          <w:ilvl w:val="0"/>
          <w:numId w:val="3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il"/>
        </w:pBdr>
        <w:spacing w:after="0" w:line="360" w:lineRule="auto"/>
        <w:ind w:hanging="360"/>
        <w:rPr>
          <w:rFonts w:ascii="Arial" w:hAnsi="Arial" w:cs="Arial"/>
          <w:color w:val="000000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</w:rPr>
        <w:t xml:space="preserve">Uprawa roślin strączkowych   </w:t>
      </w:r>
    </w:p>
    <w:p w14:paraId="4C44F0A1" w14:textId="77777777" w:rsidR="00DC6D38" w:rsidRPr="00CD1D88" w:rsidRDefault="00DC6D38" w:rsidP="00CD1D88">
      <w:pPr>
        <w:numPr>
          <w:ilvl w:val="0"/>
          <w:numId w:val="3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il"/>
        </w:pBdr>
        <w:spacing w:after="0" w:line="360" w:lineRule="auto"/>
        <w:ind w:hanging="360"/>
        <w:rPr>
          <w:rFonts w:ascii="Arial" w:hAnsi="Arial" w:cs="Arial"/>
          <w:color w:val="000000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</w:rPr>
        <w:t xml:space="preserve">Wykorzystanie międzyplonów i międzyplonów   </w:t>
      </w:r>
    </w:p>
    <w:p w14:paraId="0BD03CB0" w14:textId="77777777" w:rsidR="00DC6D38" w:rsidRPr="00CD1D88" w:rsidRDefault="00DC6D38" w:rsidP="00CD1D88">
      <w:pPr>
        <w:numPr>
          <w:ilvl w:val="0"/>
          <w:numId w:val="3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il"/>
        </w:pBdr>
        <w:spacing w:after="0" w:line="360" w:lineRule="auto"/>
        <w:ind w:hanging="360"/>
        <w:rPr>
          <w:rFonts w:ascii="Arial" w:hAnsi="Arial" w:cs="Arial"/>
          <w:color w:val="000000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</w:rPr>
        <w:t xml:space="preserve">Rolnictwo konserwujące i utrzymanie bagien   </w:t>
      </w:r>
    </w:p>
    <w:p w14:paraId="4EB4EA81" w14:textId="77777777" w:rsidR="00DC6D38" w:rsidRPr="00CD1D88" w:rsidRDefault="00DC6D38" w:rsidP="00CD1D88">
      <w:pPr>
        <w:numPr>
          <w:ilvl w:val="0"/>
          <w:numId w:val="3"/>
        </w:num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il"/>
        </w:pBdr>
        <w:spacing w:after="0" w:line="360" w:lineRule="auto"/>
        <w:ind w:hanging="360"/>
        <w:rPr>
          <w:rFonts w:ascii="Arial" w:hAnsi="Arial" w:cs="Arial"/>
          <w:color w:val="000000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</w:rPr>
        <w:lastRenderedPageBreak/>
        <w:t>Sadzenie i ponowne zalesianie.</w:t>
      </w:r>
    </w:p>
    <w:p w14:paraId="0D95240B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FFFFFF"/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14:paraId="2D9470EC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FFFFFF"/>
        <w:spacing w:after="0" w:line="360" w:lineRule="auto"/>
        <w:jc w:val="both"/>
        <w:rPr>
          <w:rFonts w:ascii="Arial" w:hAnsi="Arial" w:cs="Arial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  <w:highlight w:val="white"/>
        </w:rPr>
        <w:t xml:space="preserve"> W swoich konkluzjach ministrowie uznali, że należy zapewnić wsparcie finansowe, aby w wystarczającym stopniu zachęcić rolników i leśników do przyjęcia tych przyjaznych dla klimatu praktyk.</w:t>
      </w:r>
    </w:p>
    <w:p w14:paraId="32BCC6AE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FFFFFF"/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14:paraId="0F1EDCDA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FFFFFF"/>
        <w:spacing w:after="0" w:line="360" w:lineRule="auto"/>
        <w:jc w:val="center"/>
        <w:rPr>
          <w:rFonts w:ascii="Arial" w:hAnsi="Arial" w:cs="Arial"/>
          <w:b/>
          <w:color w:val="000000"/>
          <w:sz w:val="24"/>
          <w:szCs w:val="24"/>
        </w:rPr>
      </w:pPr>
      <w:r w:rsidRPr="00CD1D88">
        <w:rPr>
          <w:rFonts w:ascii="Arial" w:eastAsia="Arial" w:hAnsi="Arial" w:cs="Arial"/>
          <w:b/>
          <w:color w:val="000000"/>
          <w:sz w:val="24"/>
          <w:szCs w:val="24"/>
          <w:highlight w:val="white"/>
        </w:rPr>
        <w:t xml:space="preserve">Zrównoważona akwakultura </w:t>
      </w:r>
    </w:p>
    <w:p w14:paraId="2E0B504B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FFFFFF"/>
        <w:spacing w:after="0" w:line="360" w:lineRule="auto"/>
        <w:jc w:val="center"/>
        <w:rPr>
          <w:rFonts w:ascii="Arial" w:hAnsi="Arial" w:cs="Arial"/>
          <w:sz w:val="24"/>
          <w:szCs w:val="24"/>
        </w:rPr>
      </w:pPr>
    </w:p>
    <w:p w14:paraId="03141076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FFFFFF"/>
        <w:spacing w:after="0" w:line="360" w:lineRule="auto"/>
        <w:rPr>
          <w:rFonts w:ascii="Arial" w:hAnsi="Arial" w:cs="Arial"/>
          <w:sz w:val="24"/>
          <w:szCs w:val="24"/>
        </w:rPr>
      </w:pPr>
      <w:r w:rsidRPr="00CD1D88">
        <w:rPr>
          <w:rFonts w:ascii="Arial" w:eastAsia="Arial" w:hAnsi="Arial" w:cs="Arial"/>
          <w:color w:val="000000"/>
          <w:sz w:val="24"/>
          <w:szCs w:val="24"/>
          <w:highlight w:val="white"/>
        </w:rPr>
        <w:t xml:space="preserve"> </w:t>
      </w:r>
      <w:r w:rsidRPr="00CD1D88">
        <w:rPr>
          <w:rFonts w:ascii="Arial" w:eastAsia="Arial" w:hAnsi="Arial" w:cs="Arial"/>
          <w:color w:val="000000"/>
          <w:sz w:val="24"/>
          <w:szCs w:val="24"/>
          <w:highlight w:val="white"/>
        </w:rPr>
        <w:tab/>
        <w:t>UE jest obecnie w dużym stopniu uzależniona od importu owoców morza i produktów  akwakultury. Sektor ten ma jednak również potencjał rozwojowy w UE.  W lipcu 2022 r.  ministrowie UE zatwierdzili konkluzje Rady wzywające do stworzenia zrównoważonego, odpornego i konkurencyjnego unijnego sektora akwakultury morskiej i słodkowodnej.</w:t>
      </w:r>
    </w:p>
    <w:p w14:paraId="33C82FB9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FFFFFF"/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14:paraId="21DB902C" w14:textId="77777777" w:rsidR="00DC6D38" w:rsidRPr="00CD1D88" w:rsidRDefault="00DC6D38" w:rsidP="00CD1D88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</w:pBdr>
        <w:shd w:val="clear" w:color="auto" w:fill="FFFFFF"/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14:paraId="6EDC0402" w14:textId="39E22A9B" w:rsidR="00BC3A65" w:rsidRPr="00CD1D88" w:rsidRDefault="00BC3A65" w:rsidP="00CD1D88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CD1D88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DDE478" w14:textId="77777777" w:rsidR="00AF36E5" w:rsidRDefault="00AF36E5" w:rsidP="003C513B">
      <w:pPr>
        <w:spacing w:after="0" w:line="240" w:lineRule="auto"/>
      </w:pPr>
      <w:r>
        <w:separator/>
      </w:r>
    </w:p>
  </w:endnote>
  <w:endnote w:type="continuationSeparator" w:id="0">
    <w:p w14:paraId="75DF7477" w14:textId="77777777" w:rsidR="00AF36E5" w:rsidRDefault="00AF36E5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776C98" w14:textId="77777777" w:rsidR="00AF36E5" w:rsidRDefault="00AF36E5" w:rsidP="003C513B">
      <w:pPr>
        <w:spacing w:after="0" w:line="240" w:lineRule="auto"/>
      </w:pPr>
      <w:r>
        <w:separator/>
      </w:r>
    </w:p>
  </w:footnote>
  <w:footnote w:type="continuationSeparator" w:id="0">
    <w:p w14:paraId="1C7D8499" w14:textId="77777777" w:rsidR="00AF36E5" w:rsidRDefault="00AF36E5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9E2249"/>
    <w:multiLevelType w:val="multilevel"/>
    <w:tmpl w:val="E63AEC3C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94C32F8"/>
    <w:multiLevelType w:val="multilevel"/>
    <w:tmpl w:val="1BBAF818"/>
    <w:lvl w:ilvl="0">
      <w:start w:val="1"/>
      <w:numFmt w:val="bullet"/>
      <w:lvlText w:val="⮚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A3E3F05"/>
    <w:multiLevelType w:val="multilevel"/>
    <w:tmpl w:val="DCC02B7A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5F12FA0"/>
    <w:multiLevelType w:val="multilevel"/>
    <w:tmpl w:val="AE92982C"/>
    <w:lvl w:ilvl="0">
      <w:start w:val="1"/>
      <w:numFmt w:val="bullet"/>
      <w:lvlText w:val="⮚"/>
      <w:lvlJc w:val="left"/>
      <w:pPr>
        <w:ind w:left="141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5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7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1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3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77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49F6219B"/>
    <w:multiLevelType w:val="multilevel"/>
    <w:tmpl w:val="FC2E089A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2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4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8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0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4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69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673369D2"/>
    <w:multiLevelType w:val="hybridMultilevel"/>
    <w:tmpl w:val="F0220534"/>
    <w:lvl w:ilvl="0" w:tplc="073CC48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620694">
      <w:start w:val="1"/>
      <w:numFmt w:val="lowerLetter"/>
      <w:lvlText w:val="%2."/>
      <w:lvlJc w:val="left"/>
      <w:pPr>
        <w:ind w:left="1440" w:hanging="360"/>
      </w:pPr>
    </w:lvl>
    <w:lvl w:ilvl="2" w:tplc="A6023A3C">
      <w:start w:val="1"/>
      <w:numFmt w:val="lowerRoman"/>
      <w:lvlText w:val="%3."/>
      <w:lvlJc w:val="right"/>
      <w:pPr>
        <w:ind w:left="2160" w:hanging="180"/>
      </w:pPr>
    </w:lvl>
    <w:lvl w:ilvl="3" w:tplc="7F7E6366">
      <w:start w:val="1"/>
      <w:numFmt w:val="decimal"/>
      <w:lvlText w:val="%4."/>
      <w:lvlJc w:val="left"/>
      <w:pPr>
        <w:ind w:left="2880" w:hanging="360"/>
      </w:pPr>
    </w:lvl>
    <w:lvl w:ilvl="4" w:tplc="CF6E3128">
      <w:start w:val="1"/>
      <w:numFmt w:val="lowerLetter"/>
      <w:lvlText w:val="%5."/>
      <w:lvlJc w:val="left"/>
      <w:pPr>
        <w:ind w:left="3600" w:hanging="360"/>
      </w:pPr>
    </w:lvl>
    <w:lvl w:ilvl="5" w:tplc="112C437E">
      <w:start w:val="1"/>
      <w:numFmt w:val="lowerRoman"/>
      <w:lvlText w:val="%6."/>
      <w:lvlJc w:val="right"/>
      <w:pPr>
        <w:ind w:left="4320" w:hanging="180"/>
      </w:pPr>
    </w:lvl>
    <w:lvl w:ilvl="6" w:tplc="BA00169A">
      <w:start w:val="1"/>
      <w:numFmt w:val="decimal"/>
      <w:lvlText w:val="%7."/>
      <w:lvlJc w:val="left"/>
      <w:pPr>
        <w:ind w:left="5040" w:hanging="360"/>
      </w:pPr>
    </w:lvl>
    <w:lvl w:ilvl="7" w:tplc="68BA0054">
      <w:start w:val="1"/>
      <w:numFmt w:val="lowerLetter"/>
      <w:lvlText w:val="%8."/>
      <w:lvlJc w:val="left"/>
      <w:pPr>
        <w:ind w:left="5760" w:hanging="360"/>
      </w:pPr>
    </w:lvl>
    <w:lvl w:ilvl="8" w:tplc="F2926A26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29F7CA6"/>
    <w:multiLevelType w:val="multilevel"/>
    <w:tmpl w:val="63E8413C"/>
    <w:lvl w:ilvl="0">
      <w:start w:val="1"/>
      <w:numFmt w:val="bullet"/>
      <w:lvlText w:val="⮚"/>
      <w:lvlJc w:val="left"/>
      <w:pPr>
        <w:ind w:left="709" w:hanging="359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732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452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172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2892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612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332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052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5772" w:hanging="360"/>
      </w:pPr>
      <w:rPr>
        <w:rFonts w:ascii="Noto Sans Symbols" w:eastAsia="Noto Sans Symbols" w:hAnsi="Noto Sans Symbols" w:cs="Noto Sans Symbols"/>
      </w:rPr>
    </w:lvl>
  </w:abstractNum>
  <w:num w:numId="1" w16cid:durableId="1016225315">
    <w:abstractNumId w:val="5"/>
  </w:num>
  <w:num w:numId="2" w16cid:durableId="226110290">
    <w:abstractNumId w:val="6"/>
  </w:num>
  <w:num w:numId="3" w16cid:durableId="569464612">
    <w:abstractNumId w:val="0"/>
  </w:num>
  <w:num w:numId="4" w16cid:durableId="1233154133">
    <w:abstractNumId w:val="4"/>
  </w:num>
  <w:num w:numId="5" w16cid:durableId="890844404">
    <w:abstractNumId w:val="2"/>
  </w:num>
  <w:num w:numId="6" w16cid:durableId="837816043">
    <w:abstractNumId w:val="1"/>
  </w:num>
  <w:num w:numId="7" w16cid:durableId="1939633897">
    <w:abstractNumId w:val="3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14CDC"/>
    <w:rsid w:val="00016ECE"/>
    <w:rsid w:val="00026DB7"/>
    <w:rsid w:val="000278C2"/>
    <w:rsid w:val="00043121"/>
    <w:rsid w:val="00047D06"/>
    <w:rsid w:val="00057197"/>
    <w:rsid w:val="000604B3"/>
    <w:rsid w:val="000745B0"/>
    <w:rsid w:val="000813C3"/>
    <w:rsid w:val="000817FF"/>
    <w:rsid w:val="00085DA6"/>
    <w:rsid w:val="000A28A2"/>
    <w:rsid w:val="000A7934"/>
    <w:rsid w:val="000E2620"/>
    <w:rsid w:val="000F4038"/>
    <w:rsid w:val="000F4DCC"/>
    <w:rsid w:val="00101313"/>
    <w:rsid w:val="00110C56"/>
    <w:rsid w:val="001226DC"/>
    <w:rsid w:val="00133C75"/>
    <w:rsid w:val="00135864"/>
    <w:rsid w:val="001C7283"/>
    <w:rsid w:val="001E0C41"/>
    <w:rsid w:val="00203CBA"/>
    <w:rsid w:val="002B40B0"/>
    <w:rsid w:val="002C2DDA"/>
    <w:rsid w:val="002C7986"/>
    <w:rsid w:val="002D2AA0"/>
    <w:rsid w:val="002E219B"/>
    <w:rsid w:val="002E7A96"/>
    <w:rsid w:val="002F033A"/>
    <w:rsid w:val="00335A75"/>
    <w:rsid w:val="003541D2"/>
    <w:rsid w:val="0037743C"/>
    <w:rsid w:val="00380DC2"/>
    <w:rsid w:val="00395D4F"/>
    <w:rsid w:val="003C513B"/>
    <w:rsid w:val="003D77C6"/>
    <w:rsid w:val="004071BA"/>
    <w:rsid w:val="0041227E"/>
    <w:rsid w:val="00413A98"/>
    <w:rsid w:val="00430160"/>
    <w:rsid w:val="004561EB"/>
    <w:rsid w:val="0048015B"/>
    <w:rsid w:val="004D282F"/>
    <w:rsid w:val="004D77C6"/>
    <w:rsid w:val="0052608F"/>
    <w:rsid w:val="00537297"/>
    <w:rsid w:val="00574127"/>
    <w:rsid w:val="005D1F59"/>
    <w:rsid w:val="00634219"/>
    <w:rsid w:val="006435E2"/>
    <w:rsid w:val="0065370D"/>
    <w:rsid w:val="00682EA8"/>
    <w:rsid w:val="006943E5"/>
    <w:rsid w:val="006C5384"/>
    <w:rsid w:val="006E5DD2"/>
    <w:rsid w:val="00701A65"/>
    <w:rsid w:val="0072221C"/>
    <w:rsid w:val="00734BF9"/>
    <w:rsid w:val="00742AF8"/>
    <w:rsid w:val="00755515"/>
    <w:rsid w:val="007919CB"/>
    <w:rsid w:val="007B3034"/>
    <w:rsid w:val="007C6FC4"/>
    <w:rsid w:val="007E1CAB"/>
    <w:rsid w:val="0086458A"/>
    <w:rsid w:val="008D7595"/>
    <w:rsid w:val="008E4DF2"/>
    <w:rsid w:val="008F448A"/>
    <w:rsid w:val="009647AF"/>
    <w:rsid w:val="00966ECE"/>
    <w:rsid w:val="00975F04"/>
    <w:rsid w:val="009933E6"/>
    <w:rsid w:val="009953D6"/>
    <w:rsid w:val="00A03340"/>
    <w:rsid w:val="00A522DA"/>
    <w:rsid w:val="00A660B8"/>
    <w:rsid w:val="00A73202"/>
    <w:rsid w:val="00A76F41"/>
    <w:rsid w:val="00AD6FD9"/>
    <w:rsid w:val="00AF36E5"/>
    <w:rsid w:val="00B26202"/>
    <w:rsid w:val="00B26438"/>
    <w:rsid w:val="00B45507"/>
    <w:rsid w:val="00B73705"/>
    <w:rsid w:val="00BC3A65"/>
    <w:rsid w:val="00BF196C"/>
    <w:rsid w:val="00C05B1A"/>
    <w:rsid w:val="00C10415"/>
    <w:rsid w:val="00C5543A"/>
    <w:rsid w:val="00CB6FFA"/>
    <w:rsid w:val="00CD1D88"/>
    <w:rsid w:val="00D352DB"/>
    <w:rsid w:val="00D6339D"/>
    <w:rsid w:val="00D656AC"/>
    <w:rsid w:val="00D77A9C"/>
    <w:rsid w:val="00D939FB"/>
    <w:rsid w:val="00DC6D38"/>
    <w:rsid w:val="00DD3E68"/>
    <w:rsid w:val="00DD3FE2"/>
    <w:rsid w:val="00DE2F4D"/>
    <w:rsid w:val="00E01A8E"/>
    <w:rsid w:val="00E027B1"/>
    <w:rsid w:val="00E0640C"/>
    <w:rsid w:val="00E147BD"/>
    <w:rsid w:val="00E163D8"/>
    <w:rsid w:val="00E32CCF"/>
    <w:rsid w:val="00EA6BFB"/>
    <w:rsid w:val="00EA7FC7"/>
    <w:rsid w:val="00EB054A"/>
    <w:rsid w:val="00EC4B73"/>
    <w:rsid w:val="00EF4C88"/>
    <w:rsid w:val="00EF5A6D"/>
    <w:rsid w:val="00F248D1"/>
    <w:rsid w:val="00F4105E"/>
    <w:rsid w:val="00F56FE7"/>
    <w:rsid w:val="00F73300"/>
    <w:rsid w:val="00F8280A"/>
    <w:rsid w:val="00F849C8"/>
    <w:rsid w:val="00FA277C"/>
    <w:rsid w:val="00FE1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5551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1226D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aliases w:val="Fiche List Paragraph,Dot pt,F5 List Paragraph,List Paragraph1,No Spacing1,List Paragraph Char Char Char,Indicator Text,Numbered Para 1,Bullet Points,MAIN CONTENT,List Paragraph12,Bullet 1,OBC Bullet,Colorful List - Accent 11,FooterText"/>
    <w:basedOn w:val="Normalny"/>
    <w:link w:val="AkapitzlistZnak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  <w:style w:type="paragraph" w:customStyle="1" w:styleId="Pa7">
    <w:name w:val="Pa7"/>
    <w:basedOn w:val="Normalny"/>
    <w:next w:val="Normalny"/>
    <w:uiPriority w:val="99"/>
    <w:rsid w:val="00C05B1A"/>
    <w:pPr>
      <w:autoSpaceDE w:val="0"/>
      <w:autoSpaceDN w:val="0"/>
      <w:adjustRightInd w:val="0"/>
      <w:spacing w:after="0" w:line="241" w:lineRule="atLeast"/>
    </w:pPr>
    <w:rPr>
      <w:rFonts w:ascii="Calibri" w:hAnsi="Calibri" w:cs="Calibri"/>
      <w:sz w:val="24"/>
      <w:szCs w:val="24"/>
    </w:rPr>
  </w:style>
  <w:style w:type="character" w:customStyle="1" w:styleId="A3">
    <w:name w:val="A3"/>
    <w:uiPriority w:val="99"/>
    <w:rsid w:val="00C05B1A"/>
    <w:rPr>
      <w:i/>
      <w:iCs/>
      <w:color w:val="000000"/>
      <w:sz w:val="22"/>
      <w:szCs w:val="22"/>
    </w:rPr>
  </w:style>
  <w:style w:type="paragraph" w:customStyle="1" w:styleId="Pa9">
    <w:name w:val="Pa9"/>
    <w:basedOn w:val="Normalny"/>
    <w:next w:val="Normalny"/>
    <w:uiPriority w:val="99"/>
    <w:rsid w:val="005D1F59"/>
    <w:pPr>
      <w:autoSpaceDE w:val="0"/>
      <w:autoSpaceDN w:val="0"/>
      <w:adjustRightInd w:val="0"/>
      <w:spacing w:after="0" w:line="241" w:lineRule="atLeast"/>
    </w:pPr>
    <w:rPr>
      <w:rFonts w:ascii="Palatino Linotype" w:hAnsi="Palatino Linotype"/>
      <w:sz w:val="24"/>
      <w:szCs w:val="24"/>
    </w:rPr>
  </w:style>
  <w:style w:type="character" w:customStyle="1" w:styleId="longtext">
    <w:name w:val="long_text"/>
    <w:basedOn w:val="Domylnaczcionkaakapitu"/>
    <w:rsid w:val="00E0640C"/>
  </w:style>
  <w:style w:type="character" w:customStyle="1" w:styleId="hps">
    <w:name w:val="hps"/>
    <w:basedOn w:val="Domylnaczcionkaakapitu"/>
    <w:rsid w:val="00E0640C"/>
  </w:style>
  <w:style w:type="character" w:customStyle="1" w:styleId="Nagwek2Znak">
    <w:name w:val="Nagłówek 2 Znak"/>
    <w:basedOn w:val="Domylnaczcionkaakapitu"/>
    <w:link w:val="Nagwek2"/>
    <w:uiPriority w:val="9"/>
    <w:rsid w:val="00755515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AkapitzlistZnak">
    <w:name w:val="Akapit z listą Znak"/>
    <w:aliases w:val="Fiche List Paragraph Znak,Dot pt Znak,F5 List Paragraph Znak,List Paragraph1 Znak,No Spacing1 Znak,List Paragraph Char Char Char Znak,Indicator Text Znak,Numbered Para 1 Znak,Bullet Points Znak,MAIN CONTENT Znak,List Paragraph12 Znak"/>
    <w:basedOn w:val="Domylnaczcionkaakapitu"/>
    <w:link w:val="Akapitzlist"/>
    <w:uiPriority w:val="34"/>
    <w:qFormat/>
    <w:locked/>
    <w:rsid w:val="00734BF9"/>
  </w:style>
  <w:style w:type="character" w:customStyle="1" w:styleId="Nagwek3Znak">
    <w:name w:val="Nagłówek 3 Znak"/>
    <w:basedOn w:val="Domylnaczcionkaakapitu"/>
    <w:link w:val="Nagwek3"/>
    <w:uiPriority w:val="9"/>
    <w:rsid w:val="001226DC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D45C950-109E-4162-9638-780DC995735A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2.xml><?xml version="1.0" encoding="utf-8"?>
<ds:datastoreItem xmlns:ds="http://schemas.openxmlformats.org/officeDocument/2006/customXml" ds:itemID="{0CF73CB2-F876-4C50-ACD4-53E69B73E5B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C85BBBE-70A0-4AD3-B33E-A406C373F9C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743</Words>
  <Characters>4464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4</cp:revision>
  <dcterms:created xsi:type="dcterms:W3CDTF">2023-03-01T22:24:00Z</dcterms:created>
  <dcterms:modified xsi:type="dcterms:W3CDTF">2023-03-01T22:38:00Z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