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75B04A"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Cytując polską stronę Europejskiego Zielonego Ładu:</w:t>
      </w:r>
    </w:p>
    <w:p w14:paraId="76F8D15C"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„Zmiana klimatu i degradacja środowiska stanowią zagrożenie dla Europy i reszty świata. Aby sprostać tym wyzwaniom, Europa potrzebuje nowej strategii na rzecz wzrostu służącej przekształceniu Unii w nowoczesną, </w:t>
      </w:r>
      <w:proofErr w:type="spellStart"/>
      <w:r w:rsidRPr="00F11DCF">
        <w:rPr>
          <w:rFonts w:ascii="Arial" w:hAnsi="Arial" w:cs="Arial"/>
          <w:sz w:val="24"/>
          <w:szCs w:val="24"/>
        </w:rPr>
        <w:t>zasobooszczędną</w:t>
      </w:r>
      <w:proofErr w:type="spellEnd"/>
      <w:r w:rsidRPr="00F11DCF">
        <w:rPr>
          <w:rFonts w:ascii="Arial" w:hAnsi="Arial" w:cs="Arial"/>
          <w:sz w:val="24"/>
          <w:szCs w:val="24"/>
        </w:rPr>
        <w:t xml:space="preserve"> </w:t>
      </w:r>
      <w:r w:rsidRPr="00F11DCF">
        <w:rPr>
          <w:rFonts w:ascii="Arial" w:hAnsi="Arial" w:cs="Arial"/>
          <w:sz w:val="24"/>
          <w:szCs w:val="24"/>
        </w:rPr>
        <w:br/>
        <w:t>i konkurencyjną gospodarkę:</w:t>
      </w:r>
    </w:p>
    <w:p w14:paraId="4284A564" w14:textId="77777777" w:rsidR="00335A75" w:rsidRPr="00F11DCF" w:rsidRDefault="00335A75" w:rsidP="00F11DCF">
      <w:pPr>
        <w:pStyle w:val="Akapitzlist"/>
        <w:numPr>
          <w:ilvl w:val="0"/>
          <w:numId w:val="21"/>
        </w:numPr>
        <w:spacing w:line="360" w:lineRule="auto"/>
        <w:jc w:val="both"/>
        <w:rPr>
          <w:rFonts w:ascii="Arial" w:hAnsi="Arial" w:cs="Arial"/>
          <w:sz w:val="24"/>
          <w:szCs w:val="24"/>
        </w:rPr>
      </w:pPr>
      <w:r w:rsidRPr="00F11DCF">
        <w:rPr>
          <w:rFonts w:ascii="Arial" w:hAnsi="Arial" w:cs="Arial"/>
          <w:sz w:val="24"/>
          <w:szCs w:val="24"/>
        </w:rPr>
        <w:t>która w 2050 r. osiągnie zerowy poziom emisji gazów cieplarnianych netto</w:t>
      </w:r>
    </w:p>
    <w:p w14:paraId="75C9C79D" w14:textId="77777777" w:rsidR="00335A75" w:rsidRPr="00F11DCF" w:rsidRDefault="00335A75" w:rsidP="00F11DCF">
      <w:pPr>
        <w:pStyle w:val="Akapitzlist"/>
        <w:numPr>
          <w:ilvl w:val="0"/>
          <w:numId w:val="21"/>
        </w:numPr>
        <w:spacing w:line="360" w:lineRule="auto"/>
        <w:jc w:val="both"/>
        <w:rPr>
          <w:rFonts w:ascii="Arial" w:hAnsi="Arial" w:cs="Arial"/>
          <w:sz w:val="24"/>
          <w:szCs w:val="24"/>
        </w:rPr>
      </w:pPr>
      <w:r w:rsidRPr="00F11DCF">
        <w:rPr>
          <w:rFonts w:ascii="Arial" w:hAnsi="Arial" w:cs="Arial"/>
          <w:sz w:val="24"/>
          <w:szCs w:val="24"/>
        </w:rPr>
        <w:t>w której nastąpi oddzielenie wzrostu gospodarczego od zużywania zasobów”</w:t>
      </w:r>
    </w:p>
    <w:p w14:paraId="58FBCD84"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Ułatwieniem w osiągnięciu założeń Europejskiego Zielonego Ładu będzie zmniejszenie zapotrzebowania przedsiębiorstw na energię oraz surowce. </w:t>
      </w:r>
      <w:r w:rsidRPr="00F11DCF">
        <w:rPr>
          <w:rFonts w:ascii="Arial" w:hAnsi="Arial" w:cs="Arial"/>
          <w:sz w:val="24"/>
          <w:szCs w:val="24"/>
        </w:rPr>
        <w:br/>
        <w:t>W niniejszym artykule autor skupi się na aspekcie warunków lokalowych.</w:t>
      </w:r>
    </w:p>
    <w:p w14:paraId="4F0827FB"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Ważnym aspektem zmniejszającym energochłonność przedsiębiorstwa jako całości są warunki lokalowe. O ile w ciągu ostatnich 20 lat wysoka izolacja termiczna budynków stała się standardem, o tyle stosowanie mało efektywnych systemów ogrzewania, energochłonnych źródeł światła i brak kultury dbania </w:t>
      </w:r>
      <w:r w:rsidRPr="00F11DCF">
        <w:rPr>
          <w:rFonts w:ascii="Arial" w:hAnsi="Arial" w:cs="Arial"/>
          <w:sz w:val="24"/>
          <w:szCs w:val="24"/>
        </w:rPr>
        <w:br/>
        <w:t xml:space="preserve">o niskie straty energetyczne nadal są problemem wielu przedsiębiorstw. </w:t>
      </w:r>
    </w:p>
    <w:p w14:paraId="06F298A9"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Procesy termomodernizacyjne wspierane są przez Fundusze Europejskie. Termomodernizacja może dotyczyć budynków, procesów produkcyjnych czy usługowych. Jej celem jest m.in. obniżenie strat energii i uzyskanie dzięki temu oszczędności oraz zmniejszenie emisji szkodliwych substancji do środowiska. </w:t>
      </w:r>
    </w:p>
    <w:p w14:paraId="23D74205"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Standardowe kaloryfery, wymagające do poprawnej pracy temperatury czynnika grzejnego w zakresie 45-60°C, wymagają zastosowania znacznie wyższych nakładów energetycznych niż systemy ogrzewania podłogowego/ściennego, </w:t>
      </w:r>
      <w:r w:rsidRPr="00F11DCF">
        <w:rPr>
          <w:rFonts w:ascii="Arial" w:hAnsi="Arial" w:cs="Arial"/>
          <w:sz w:val="24"/>
          <w:szCs w:val="24"/>
        </w:rPr>
        <w:br/>
        <w:t xml:space="preserve">w których temperatura cieczy nie powinna przekraczać 30-35°C. Dodatkowe zastosowanie systemów odzysku ciepła, tzw. rekuperatorów, znacznie zmniejszy zapotrzebowanie na energię cieplną budynku. Zastosowanie wydajnej wentylacji mechanicznej z odzyskiem ciepła dodatkowo zmniejszy konieczność otwierania okien dodatkowo zmniejszając zapotrzebowanie na energię. Współcześnie stosowane </w:t>
      </w:r>
      <w:r w:rsidRPr="00F11DCF">
        <w:rPr>
          <w:rFonts w:ascii="Arial" w:hAnsi="Arial" w:cs="Arial"/>
          <w:sz w:val="24"/>
          <w:szCs w:val="24"/>
        </w:rPr>
        <w:lastRenderedPageBreak/>
        <w:t xml:space="preserve">źródła ciepła (głównie mowa tutaj o piecach gazowych, pompach ciepła oraz klimatyzatorach) pozwalają na bardzo szybkie i tanie ogrzewanie/chłodzenie budynków produkcyjnych, hal magazynowych oraz pomieszczeń biurowych. Obecnie stosowane rozwiązania techniczne jak </w:t>
      </w:r>
      <w:proofErr w:type="spellStart"/>
      <w:r w:rsidRPr="00F11DCF">
        <w:rPr>
          <w:rFonts w:ascii="Arial" w:hAnsi="Arial" w:cs="Arial"/>
          <w:sz w:val="24"/>
          <w:szCs w:val="24"/>
        </w:rPr>
        <w:t>inwertorowe</w:t>
      </w:r>
      <w:proofErr w:type="spellEnd"/>
      <w:r w:rsidRPr="00F11DCF">
        <w:rPr>
          <w:rFonts w:ascii="Arial" w:hAnsi="Arial" w:cs="Arial"/>
          <w:sz w:val="24"/>
          <w:szCs w:val="24"/>
        </w:rPr>
        <w:t xml:space="preserve"> klimatyzatory znacznie zmniejszają zużycie energii, działając </w:t>
      </w:r>
      <w:r w:rsidRPr="00F11DCF">
        <w:rPr>
          <w:rFonts w:ascii="Arial" w:hAnsi="Arial" w:cs="Arial"/>
          <w:sz w:val="24"/>
          <w:szCs w:val="24"/>
        </w:rPr>
        <w:br/>
        <w:t>w trybie płynnej zmiany mocy grzewczej/chłodniczej a nie mając tryb binarny OFF (0% mocy) oraz ON (100% mocy). Warto przeanalizować zastosowanie energooszczędnych źródeł światła LED, których technologia w ostatnich latach poprawiła zarówno żywotność diod jak i odwzorowywanie przez nie barw – to ostatnie jest szczególnie istotne podczas prac wymagających dokładne odwzorowanie palety kolorystycznej produktu – o ile nie są wykorzystywane w tym celu kolorymetry.</w:t>
      </w:r>
    </w:p>
    <w:p w14:paraId="140C7D41"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Zastosowanie dobrej izolacji budynku, nowoczesnych systemów grzewczych </w:t>
      </w:r>
      <w:r w:rsidRPr="00F11DCF">
        <w:rPr>
          <w:rFonts w:ascii="Arial" w:hAnsi="Arial" w:cs="Arial"/>
          <w:sz w:val="24"/>
          <w:szCs w:val="24"/>
        </w:rPr>
        <w:br/>
        <w:t>i pobierających niewiele energii źródeł światła nie przyniosą jednak efektu, gdy w przedsiębiorstwie brak jest odpowiedniej kultury pracy – otwarte na oścież drzwi czy zostawienie na noc włączonego oświetlenia na hali produkcyjnej zniweczą inwestycję przedsiębiorcy. Oprócz rozmów i szkoleń pracowników, dobrą praktyką jest stosowanie automatycznych regulatorów temperatury, często programowalnych – pozwalających dopasować temperaturę pomieszczenia zależnie od pory doby. Proste samozamykacze drzwi czy czujniki ruchu uruchamiające oświetlenie tylko gdy ktoś jest w pomieszczeniu również będą „cichym pomocnikiem” pozwalającym na znaczne oszczędności energetyczne.</w:t>
      </w:r>
    </w:p>
    <w:p w14:paraId="3E2DEC5F" w14:textId="77777777" w:rsidR="00335A75" w:rsidRPr="00F11DCF" w:rsidRDefault="00335A75" w:rsidP="00F11DCF">
      <w:pPr>
        <w:spacing w:line="360" w:lineRule="auto"/>
        <w:jc w:val="both"/>
        <w:rPr>
          <w:rFonts w:ascii="Arial" w:hAnsi="Arial" w:cs="Arial"/>
          <w:sz w:val="24"/>
          <w:szCs w:val="24"/>
        </w:rPr>
      </w:pPr>
      <w:r w:rsidRPr="00F11DCF">
        <w:rPr>
          <w:rFonts w:ascii="Arial" w:hAnsi="Arial" w:cs="Arial"/>
          <w:sz w:val="24"/>
          <w:szCs w:val="24"/>
        </w:rPr>
        <w:t xml:space="preserve">Oczywiście, każda inwestycja w termomodernizację, nowe źródło ciepła, zastosowanie elektronicznego wspomagania nastaw temperatury czy czujniki ruchu powinna być przeanalizowana pod względem czasu zwrotu. Należy do tego doliczyć, </w:t>
      </w:r>
      <w:proofErr w:type="gramStart"/>
      <w:r w:rsidRPr="00F11DCF">
        <w:rPr>
          <w:rFonts w:ascii="Arial" w:hAnsi="Arial" w:cs="Arial"/>
          <w:sz w:val="24"/>
          <w:szCs w:val="24"/>
        </w:rPr>
        <w:t>ekologicznie!,</w:t>
      </w:r>
      <w:proofErr w:type="gramEnd"/>
      <w:r w:rsidRPr="00F11DCF">
        <w:rPr>
          <w:rFonts w:ascii="Arial" w:hAnsi="Arial" w:cs="Arial"/>
          <w:sz w:val="24"/>
          <w:szCs w:val="24"/>
        </w:rPr>
        <w:t xml:space="preserve"> zużycie surowców wymaganych do montażu – prąd, materiały budowlane, utylizacja odpadów budowlanych koszt dojazdu ekipy remontowej itp. Zakup czujników ruchu i programatorów wartych tysiące złotych dające oszczędność rzędu 10 złotych miesięcznie zwrócą się za kilkadziesiąt lat. Jest to oczywiście sytuacja skrajna i każdy przedsiębiorca powinien przeanalizować możliwości modernizacji oraz realne koszty i korzyści z nich płynące. Pomocne w takich analizach mogą być informacje przedstawiane przez producentów ww. rozwiązań, portale branżowe, ekspertów z </w:t>
      </w:r>
      <w:r w:rsidRPr="00F11DCF">
        <w:rPr>
          <w:rFonts w:ascii="Arial" w:hAnsi="Arial" w:cs="Arial"/>
          <w:sz w:val="24"/>
          <w:szCs w:val="24"/>
        </w:rPr>
        <w:lastRenderedPageBreak/>
        <w:t>danej dziedziny oraz czasopisma czy materiały konferencyjne. Czasami bycie proekologicznym jest wystarczającym bodźcem do zmian i modernizacji, jednak najczęściej, oprócz bardzo marketingowego aspektu tych zmian, do inwestorów przemawiają realne korzyści finansowe stojące za poniesionymi kosztami. Realne czasy zwrotu dla poszczególnych rodzajów modernizacji mogą się znacznie różnić, jednak doniesienia rynkowe wskazują na okres 5-7 lat dla instalacji fotowoltaicznej oraz 4-5 lat dla modernizacji źródła ciepła.</w:t>
      </w:r>
    </w:p>
    <w:p w14:paraId="6EDC0402" w14:textId="6A06B201" w:rsidR="00BC3A65" w:rsidRPr="00F11DCF" w:rsidRDefault="00BC3A65" w:rsidP="00F11DCF">
      <w:pPr>
        <w:spacing w:line="360" w:lineRule="auto"/>
        <w:rPr>
          <w:rFonts w:ascii="Arial" w:hAnsi="Arial" w:cs="Arial"/>
          <w:sz w:val="24"/>
          <w:szCs w:val="24"/>
        </w:rPr>
      </w:pPr>
    </w:p>
    <w:sectPr w:rsidR="00BC3A65" w:rsidRPr="00F11DCF"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7"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3"/>
  </w:num>
  <w:num w:numId="3" w16cid:durableId="1869222873">
    <w:abstractNumId w:val="18"/>
  </w:num>
  <w:num w:numId="4" w16cid:durableId="765223711">
    <w:abstractNumId w:val="14"/>
  </w:num>
  <w:num w:numId="5" w16cid:durableId="1859393560">
    <w:abstractNumId w:val="16"/>
  </w:num>
  <w:num w:numId="6" w16cid:durableId="12462334">
    <w:abstractNumId w:val="4"/>
  </w:num>
  <w:num w:numId="7" w16cid:durableId="1699433921">
    <w:abstractNumId w:val="15"/>
  </w:num>
  <w:num w:numId="8" w16cid:durableId="579145953">
    <w:abstractNumId w:val="9"/>
  </w:num>
  <w:num w:numId="9" w16cid:durableId="457845199">
    <w:abstractNumId w:val="0"/>
  </w:num>
  <w:num w:numId="10" w16cid:durableId="614871375">
    <w:abstractNumId w:val="19"/>
  </w:num>
  <w:num w:numId="11" w16cid:durableId="1477379881">
    <w:abstractNumId w:val="3"/>
  </w:num>
  <w:num w:numId="12" w16cid:durableId="806119431">
    <w:abstractNumId w:val="11"/>
  </w:num>
  <w:num w:numId="13" w16cid:durableId="577253963">
    <w:abstractNumId w:val="12"/>
  </w:num>
  <w:num w:numId="14" w16cid:durableId="42218609">
    <w:abstractNumId w:val="10"/>
  </w:num>
  <w:num w:numId="15" w16cid:durableId="220100898">
    <w:abstractNumId w:val="17"/>
  </w:num>
  <w:num w:numId="16" w16cid:durableId="1293637815">
    <w:abstractNumId w:val="5"/>
  </w:num>
  <w:num w:numId="17" w16cid:durableId="461732615">
    <w:abstractNumId w:val="1"/>
  </w:num>
  <w:num w:numId="18" w16cid:durableId="311907466">
    <w:abstractNumId w:val="7"/>
  </w:num>
  <w:num w:numId="19" w16cid:durableId="1636064392">
    <w:abstractNumId w:val="20"/>
  </w:num>
  <w:num w:numId="20" w16cid:durableId="982734635">
    <w:abstractNumId w:val="8"/>
  </w:num>
  <w:num w:numId="21" w16cid:durableId="81487718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A7934"/>
    <w:rsid w:val="000E2620"/>
    <w:rsid w:val="000F4DCC"/>
    <w:rsid w:val="001C7283"/>
    <w:rsid w:val="002C2DDA"/>
    <w:rsid w:val="002E7A96"/>
    <w:rsid w:val="00335A75"/>
    <w:rsid w:val="00380DC2"/>
    <w:rsid w:val="00395D4F"/>
    <w:rsid w:val="003C513B"/>
    <w:rsid w:val="003D77C6"/>
    <w:rsid w:val="004071BA"/>
    <w:rsid w:val="0041227E"/>
    <w:rsid w:val="004561EB"/>
    <w:rsid w:val="0052608F"/>
    <w:rsid w:val="00537297"/>
    <w:rsid w:val="00701A65"/>
    <w:rsid w:val="0072221C"/>
    <w:rsid w:val="007C6FC4"/>
    <w:rsid w:val="0086458A"/>
    <w:rsid w:val="008E4DF2"/>
    <w:rsid w:val="009647AF"/>
    <w:rsid w:val="00975F04"/>
    <w:rsid w:val="009953D6"/>
    <w:rsid w:val="00A522DA"/>
    <w:rsid w:val="00A73202"/>
    <w:rsid w:val="00AD6FD9"/>
    <w:rsid w:val="00BC3A65"/>
    <w:rsid w:val="00BF196C"/>
    <w:rsid w:val="00C10415"/>
    <w:rsid w:val="00D6339D"/>
    <w:rsid w:val="00DD3FE2"/>
    <w:rsid w:val="00E01A8E"/>
    <w:rsid w:val="00E027B1"/>
    <w:rsid w:val="00E147BD"/>
    <w:rsid w:val="00E163D8"/>
    <w:rsid w:val="00EB054A"/>
    <w:rsid w:val="00EF4C88"/>
    <w:rsid w:val="00EF5A6D"/>
    <w:rsid w:val="00F11DCF"/>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8251E59-837C-480E-8D87-E447020C7001}">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D134659C-8A7C-4D8E-8A21-64AD01D3D403}">
  <ds:schemaRefs>
    <ds:schemaRef ds:uri="http://schemas.microsoft.com/sharepoint/v3/contenttype/forms"/>
  </ds:schemaRefs>
</ds:datastoreItem>
</file>

<file path=customXml/itemProps3.xml><?xml version="1.0" encoding="utf-8"?>
<ds:datastoreItem xmlns:ds="http://schemas.openxmlformats.org/officeDocument/2006/customXml" ds:itemID="{A15366E3-5BBF-48EF-8649-75C3777853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683</Words>
  <Characters>4098</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2023-03-01T22:09:00Z</dcterms:created>
  <dcterms:modified xsi:type="dcterms:W3CDTF">2023-03-01T22:48:00Z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