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AD92CA" w14:textId="77777777" w:rsidR="00E0640C" w:rsidRPr="00AE6C12" w:rsidRDefault="00E0640C" w:rsidP="00AE6C12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AE6C12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AE6C12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AE6C12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AE6C12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AE6C12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AE6C12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AE6C12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29E55043" w14:textId="77777777" w:rsidR="00E0640C" w:rsidRPr="00AE6C12" w:rsidRDefault="00E0640C" w:rsidP="00AE6C12">
      <w:pPr>
        <w:spacing w:after="120" w:line="360" w:lineRule="auto"/>
        <w:rPr>
          <w:rFonts w:ascii="Arial" w:hAnsi="Arial" w:cs="Arial"/>
          <w:b/>
          <w:bCs/>
          <w:sz w:val="24"/>
          <w:szCs w:val="24"/>
        </w:rPr>
      </w:pPr>
      <w:r w:rsidRPr="00AE6C12">
        <w:rPr>
          <w:rFonts w:ascii="Arial" w:hAnsi="Arial" w:cs="Arial"/>
          <w:b/>
          <w:bCs/>
          <w:sz w:val="24"/>
          <w:szCs w:val="24"/>
        </w:rPr>
        <w:t>Klastry przemysłowe jako narzędzie wdrażania strategii Europejskiego Zielonego Ładu</w:t>
      </w:r>
    </w:p>
    <w:p w14:paraId="5D44DE00" w14:textId="77777777" w:rsidR="00E0640C" w:rsidRPr="00AE6C12" w:rsidRDefault="00E0640C" w:rsidP="00AE6C12">
      <w:pPr>
        <w:spacing w:after="120" w:line="360" w:lineRule="auto"/>
        <w:ind w:firstLine="708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 xml:space="preserve">W Unii Europejskiej podejmowane są różnorodne inicjatywy polityczno-gospodarcze mające na celu osiągnięcie neutralności klimatycznej. Jednym z działań w tym obszarze jest </w:t>
      </w:r>
      <w:bookmarkStart w:id="0" w:name="_Hlk110669423"/>
      <w:r w:rsidRPr="00AE6C12">
        <w:rPr>
          <w:rFonts w:ascii="Arial" w:hAnsi="Arial" w:cs="Arial"/>
          <w:sz w:val="24"/>
          <w:szCs w:val="24"/>
        </w:rPr>
        <w:t xml:space="preserve">przyjęty w 2019 r. Europejski </w:t>
      </w:r>
      <w:bookmarkEnd w:id="0"/>
      <w:r w:rsidRPr="00AE6C12">
        <w:rPr>
          <w:rFonts w:ascii="Arial" w:hAnsi="Arial" w:cs="Arial"/>
          <w:sz w:val="24"/>
          <w:szCs w:val="24"/>
        </w:rPr>
        <w:t>Zielony Ład (</w:t>
      </w:r>
      <w:r w:rsidRPr="00AE6C12">
        <w:rPr>
          <w:rFonts w:ascii="Arial" w:hAnsi="Arial" w:cs="Arial"/>
          <w:i/>
          <w:iCs/>
          <w:sz w:val="24"/>
          <w:szCs w:val="24"/>
        </w:rPr>
        <w:t xml:space="preserve">The </w:t>
      </w:r>
      <w:proofErr w:type="spellStart"/>
      <w:r w:rsidRPr="00AE6C12">
        <w:rPr>
          <w:rFonts w:ascii="Arial" w:hAnsi="Arial" w:cs="Arial"/>
          <w:i/>
          <w:iCs/>
          <w:sz w:val="24"/>
          <w:szCs w:val="24"/>
        </w:rPr>
        <w:t>European</w:t>
      </w:r>
      <w:proofErr w:type="spellEnd"/>
      <w:r w:rsidRPr="00AE6C12">
        <w:rPr>
          <w:rFonts w:ascii="Arial" w:hAnsi="Arial" w:cs="Arial"/>
          <w:i/>
          <w:iCs/>
          <w:sz w:val="24"/>
          <w:szCs w:val="24"/>
        </w:rPr>
        <w:t xml:space="preserve"> Green Deal</w:t>
      </w:r>
      <w:r w:rsidRPr="00AE6C12">
        <w:rPr>
          <w:rFonts w:ascii="Arial" w:hAnsi="Arial" w:cs="Arial"/>
          <w:sz w:val="24"/>
          <w:szCs w:val="24"/>
        </w:rPr>
        <w:t xml:space="preserve">), stanowiący odpowiedź na globalne wyzwania związane z degradacją środowiska naturalnego i zmianami klimatu. Celem tej strategii jest transformacja europejskich gospodarek w systemy nowoczesne, energooszczędne i neutralne klimatycznie. Europejski Zielony Ład stanowi aktualizację i rozszerzenie wcześniejszego zaangażowania Komisji Europejskiej w walkę ze zmianami klimatu i wobec wyzwań wiążących się z ochroną środowiska. Jednocześnie w zamyśle Komisji Europejskiej ważną rolę w realizacji strategii Europejskiego Zielonego Ładu, zwłaszcza w małych i średnich przedsiębiorstwach, odgrywają klastry. </w:t>
      </w:r>
    </w:p>
    <w:p w14:paraId="360580AA" w14:textId="77777777" w:rsidR="00E0640C" w:rsidRPr="00AE6C12" w:rsidRDefault="00E0640C" w:rsidP="00AE6C12">
      <w:pPr>
        <w:spacing w:after="120" w:line="360" w:lineRule="auto"/>
        <w:ind w:firstLine="708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 xml:space="preserve">Koncepcja klastrów w naukach ekonomicznych została sformułowana na przełomie lat 80. i 90. XX wieku przez M. Portera, który zdefiniował je jako „geograficzne skupiska wzajemnie powiązanych firm, wyspecjalizowanych dostawców, jednostek świadczących usługi, firm działających w pokrewnych sektorach i związanych z nimi instytucji (na przykład uniwersytetów, jednostek normalizacyjnych i stowarzyszeń branżowych) w poszczególnych dziedzinach, konkurujących między sobą, ale również współpracujących”. W ostatnich dwóch dekadach zauważalny jest dynamiczny wzrost znaczenia i popularności klastrów, zarówno jako modelu biznesowego wykorzystywanego do organizowania działalności gospodarczej, a także skutecznego instrumentu w ramach polityki gospodarczej państwa. Najbardziej znanym przykładem klastra w świecie jest Dolina Krzemowa w Kalifornii. W Polsce istnieje kilkaset inicjatyw klastrowych, z których jedną z największych jest Dolina Lotnicza w województwie podkarpackim. </w:t>
      </w:r>
    </w:p>
    <w:p w14:paraId="0C25CB5C" w14:textId="77777777" w:rsidR="00E0640C" w:rsidRPr="00AE6C12" w:rsidRDefault="00E0640C" w:rsidP="00AE6C12">
      <w:pPr>
        <w:spacing w:after="120" w:line="360" w:lineRule="auto"/>
        <w:ind w:firstLine="708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>Znaczenie klastrów w obszarze realizacji Europejskiego Zielonego Ładu wiąże się z obserwowaną zieloną reorientacją klastrów (</w:t>
      </w:r>
      <w:proofErr w:type="spellStart"/>
      <w:r w:rsidRPr="00AE6C12">
        <w:rPr>
          <w:rFonts w:ascii="Arial" w:hAnsi="Arial" w:cs="Arial"/>
          <w:sz w:val="24"/>
          <w:szCs w:val="24"/>
        </w:rPr>
        <w:t>Sjøtun</w:t>
      </w:r>
      <w:proofErr w:type="spellEnd"/>
      <w:r w:rsidRPr="00AE6C12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AE6C12">
        <w:rPr>
          <w:rFonts w:ascii="Arial" w:hAnsi="Arial" w:cs="Arial"/>
          <w:sz w:val="24"/>
          <w:szCs w:val="24"/>
        </w:rPr>
        <w:t>Njøs</w:t>
      </w:r>
      <w:proofErr w:type="spellEnd"/>
      <w:r w:rsidRPr="00AE6C12">
        <w:rPr>
          <w:rFonts w:ascii="Arial" w:hAnsi="Arial" w:cs="Arial"/>
          <w:sz w:val="24"/>
          <w:szCs w:val="24"/>
        </w:rPr>
        <w:t>, 2019) oraz tym, że</w:t>
      </w:r>
      <w:r w:rsidRPr="00AE6C12">
        <w:rPr>
          <w:rFonts w:ascii="Arial" w:hAnsi="Arial" w:cs="Arial"/>
          <w:b/>
          <w:bCs/>
          <w:sz w:val="24"/>
          <w:szCs w:val="24"/>
        </w:rPr>
        <w:t xml:space="preserve"> </w:t>
      </w:r>
      <w:r w:rsidRPr="00AE6C12">
        <w:rPr>
          <w:rFonts w:ascii="Arial" w:hAnsi="Arial" w:cs="Arial"/>
          <w:sz w:val="24"/>
          <w:szCs w:val="24"/>
        </w:rPr>
        <w:t xml:space="preserve">klastry zostały uznane przez Komisję Europejską za podmioty wdrażające Europejski </w:t>
      </w:r>
      <w:r w:rsidRPr="00AE6C12">
        <w:rPr>
          <w:rFonts w:ascii="Arial" w:hAnsi="Arial" w:cs="Arial"/>
          <w:sz w:val="24"/>
          <w:szCs w:val="24"/>
        </w:rPr>
        <w:lastRenderedPageBreak/>
        <w:t xml:space="preserve">Zielony Ład, w szczególności w małych i średnich przedsiębiorstwach. Współpraca w ramach klastrów na rzecz zrównoważonego rozwoju i tworzenie </w:t>
      </w:r>
      <w:proofErr w:type="spellStart"/>
      <w:r w:rsidRPr="00AE6C12">
        <w:rPr>
          <w:rFonts w:ascii="Arial" w:hAnsi="Arial" w:cs="Arial"/>
          <w:sz w:val="24"/>
          <w:szCs w:val="24"/>
        </w:rPr>
        <w:t>ekoinnowacji</w:t>
      </w:r>
      <w:proofErr w:type="spellEnd"/>
      <w:r w:rsidRPr="00AE6C12">
        <w:rPr>
          <w:rFonts w:ascii="Arial" w:hAnsi="Arial" w:cs="Arial"/>
          <w:sz w:val="24"/>
          <w:szCs w:val="24"/>
        </w:rPr>
        <w:t xml:space="preserve"> mogą przyjmować różne formy i mieć różne cele m.in.: pozyskiwanie energii ze źródeł odnawialnych, alternatywne sposoby pozyskiwania i eksploatacji surowców, gospodarowanie w obiegu zamkniętym, tworzenie </w:t>
      </w:r>
      <w:proofErr w:type="spellStart"/>
      <w:r w:rsidRPr="00AE6C12">
        <w:rPr>
          <w:rFonts w:ascii="Arial" w:hAnsi="Arial" w:cs="Arial"/>
          <w:sz w:val="24"/>
          <w:szCs w:val="24"/>
        </w:rPr>
        <w:t>eko</w:t>
      </w:r>
      <w:proofErr w:type="spellEnd"/>
      <w:r w:rsidRPr="00AE6C12">
        <w:rPr>
          <w:rFonts w:ascii="Arial" w:hAnsi="Arial" w:cs="Arial"/>
          <w:sz w:val="24"/>
          <w:szCs w:val="24"/>
        </w:rPr>
        <w:t xml:space="preserve">-innowacji i produkcja ekologicznej żywności (Kowalski 2013). Potwierdzeniem roli struktur klastrowych w tym zakresie jest fakt, że dają one możliwość pokonania barier w zakresie realizowania przez małe i średnie przedsiębiorstwa podstawowych rekomendacji produkcyjnych w dziedzinie technologii ekologicznych. Rozwój inicjatyw klastrowych prowadzi do wystąpienia „mnożnikowych efektów proekologicznych przewagi konkurencyjnej i rozwoju proekologiczności w regionie” (Skawińska, Zalewski, 2009, s. 29–33). </w:t>
      </w:r>
    </w:p>
    <w:p w14:paraId="20F7347B" w14:textId="77777777" w:rsidR="00E0640C" w:rsidRPr="00AE6C12" w:rsidRDefault="00E0640C" w:rsidP="00AE6C12">
      <w:pPr>
        <w:spacing w:after="120" w:line="360" w:lineRule="auto"/>
        <w:ind w:firstLine="708"/>
        <w:rPr>
          <w:rStyle w:val="hps"/>
          <w:rFonts w:ascii="Arial" w:hAnsi="Arial" w:cs="Arial"/>
          <w:sz w:val="24"/>
          <w:szCs w:val="24"/>
        </w:rPr>
      </w:pPr>
      <w:r w:rsidRPr="00AE6C12">
        <w:rPr>
          <w:rFonts w:ascii="Arial" w:eastAsia="Calibri" w:hAnsi="Arial" w:cs="Arial"/>
          <w:bCs/>
          <w:sz w:val="24"/>
          <w:szCs w:val="24"/>
        </w:rPr>
        <w:t>Według raportu (</w:t>
      </w:r>
      <w:proofErr w:type="spellStart"/>
      <w:r w:rsidRPr="00AE6C12">
        <w:rPr>
          <w:rFonts w:ascii="Arial" w:eastAsia="Calibri" w:hAnsi="Arial" w:cs="Arial"/>
          <w:bCs/>
          <w:sz w:val="24"/>
          <w:szCs w:val="24"/>
        </w:rPr>
        <w:t>Barsoumian</w:t>
      </w:r>
      <w:proofErr w:type="spellEnd"/>
      <w:r w:rsidRPr="00AE6C12">
        <w:rPr>
          <w:rFonts w:ascii="Arial" w:eastAsia="Calibri" w:hAnsi="Arial" w:cs="Arial"/>
          <w:bCs/>
          <w:sz w:val="24"/>
          <w:szCs w:val="24"/>
        </w:rPr>
        <w:t xml:space="preserve"> et al. 2011) przygotowanego dla Europejskiego Obserwatorium Klastrów, do oddziaływania klastrów na realizację priorytetów ekologicznych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można podejść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na dwa sposoby: </w:t>
      </w:r>
    </w:p>
    <w:p w14:paraId="46A52508" w14:textId="77777777" w:rsidR="00E0640C" w:rsidRPr="00AE6C12" w:rsidRDefault="00E0640C" w:rsidP="00AE6C12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120" w:line="360" w:lineRule="auto"/>
        <w:ind w:left="709"/>
        <w:contextualSpacing w:val="0"/>
        <w:rPr>
          <w:rStyle w:val="longtext"/>
          <w:rFonts w:ascii="Arial" w:eastAsia="Calibri" w:hAnsi="Arial" w:cs="Arial"/>
          <w:bCs/>
          <w:sz w:val="24"/>
          <w:szCs w:val="24"/>
        </w:rPr>
      </w:pPr>
      <w:r w:rsidRPr="00AE6C12">
        <w:rPr>
          <w:rStyle w:val="hps"/>
          <w:rFonts w:ascii="Arial" w:hAnsi="Arial" w:cs="Arial"/>
          <w:sz w:val="24"/>
          <w:szCs w:val="24"/>
        </w:rPr>
        <w:t>w krajach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które mają </w:t>
      </w:r>
      <w:r w:rsidRPr="00AE6C12">
        <w:rPr>
          <w:rStyle w:val="hps"/>
          <w:rFonts w:ascii="Arial" w:hAnsi="Arial" w:cs="Arial"/>
          <w:sz w:val="24"/>
          <w:szCs w:val="24"/>
        </w:rPr>
        <w:t>dobrze rozwinięty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przemysł czystych technologii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buduje się </w:t>
      </w:r>
      <w:r w:rsidRPr="00AE6C12">
        <w:rPr>
          <w:rStyle w:val="hps"/>
          <w:rFonts w:ascii="Arial" w:hAnsi="Arial" w:cs="Arial"/>
          <w:sz w:val="24"/>
          <w:szCs w:val="24"/>
        </w:rPr>
        <w:t>klastry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w celu dalszej poprawy konkurencyjności ekonomicznej sektora</w:t>
      </w:r>
      <w:r w:rsidRPr="00AE6C12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AE6C12">
        <w:rPr>
          <w:rStyle w:val="hps"/>
          <w:rFonts w:ascii="Arial" w:hAnsi="Arial" w:cs="Arial"/>
          <w:sz w:val="24"/>
          <w:szCs w:val="24"/>
        </w:rPr>
        <w:t>eko</w:t>
      </w:r>
      <w:proofErr w:type="spellEnd"/>
      <w:r w:rsidRPr="00AE6C12">
        <w:rPr>
          <w:rStyle w:val="hps"/>
          <w:rFonts w:ascii="Arial" w:hAnsi="Arial" w:cs="Arial"/>
          <w:sz w:val="24"/>
          <w:szCs w:val="24"/>
        </w:rPr>
        <w:t>-innowacji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</w:t>
      </w:r>
    </w:p>
    <w:p w14:paraId="488A6F49" w14:textId="77777777" w:rsidR="00E0640C" w:rsidRPr="00AE6C12" w:rsidRDefault="00E0640C" w:rsidP="00AE6C12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120" w:line="360" w:lineRule="auto"/>
        <w:ind w:left="709"/>
        <w:contextualSpacing w:val="0"/>
        <w:rPr>
          <w:rStyle w:val="hps"/>
          <w:rFonts w:ascii="Arial" w:eastAsia="Calibri" w:hAnsi="Arial" w:cs="Arial"/>
          <w:bCs/>
          <w:sz w:val="24"/>
          <w:szCs w:val="24"/>
        </w:rPr>
      </w:pPr>
      <w:r w:rsidRPr="00AE6C12">
        <w:rPr>
          <w:rStyle w:val="hps"/>
          <w:rFonts w:ascii="Arial" w:hAnsi="Arial" w:cs="Arial"/>
          <w:sz w:val="24"/>
          <w:szCs w:val="24"/>
        </w:rPr>
        <w:t>następuje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poziome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zintegrowanie</w:t>
      </w:r>
      <w:r w:rsidRPr="00AE6C12">
        <w:rPr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działalności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organizacji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klastrów funkcjonujących w</w:t>
      </w:r>
      <w:r w:rsidRPr="00AE6C12">
        <w:rPr>
          <w:rFonts w:ascii="Arial" w:hAnsi="Arial" w:cs="Arial"/>
          <w:sz w:val="24"/>
          <w:szCs w:val="24"/>
        </w:rPr>
        <w:br/>
      </w:r>
      <w:r w:rsidRPr="00AE6C12">
        <w:rPr>
          <w:rStyle w:val="hps"/>
          <w:rFonts w:ascii="Arial" w:hAnsi="Arial" w:cs="Arial"/>
          <w:sz w:val="24"/>
          <w:szCs w:val="24"/>
        </w:rPr>
        <w:t>różnych sektorach na innowacje ekologiczne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lub 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cele związane z ochroną środowiska. </w:t>
      </w:r>
    </w:p>
    <w:p w14:paraId="01DC1306" w14:textId="77777777" w:rsidR="00E0640C" w:rsidRPr="00AE6C12" w:rsidRDefault="00E0640C" w:rsidP="00AE6C12">
      <w:pPr>
        <w:autoSpaceDE w:val="0"/>
        <w:autoSpaceDN w:val="0"/>
        <w:adjustRightInd w:val="0"/>
        <w:spacing w:after="120" w:line="360" w:lineRule="auto"/>
        <w:ind w:firstLine="709"/>
        <w:rPr>
          <w:rFonts w:ascii="Arial" w:eastAsia="MS Mincho" w:hAnsi="Arial" w:cs="Arial"/>
          <w:sz w:val="24"/>
          <w:szCs w:val="24"/>
        </w:rPr>
      </w:pPr>
      <w:r w:rsidRPr="00AE6C12">
        <w:rPr>
          <w:rStyle w:val="hps"/>
          <w:rFonts w:ascii="Arial" w:hAnsi="Arial" w:cs="Arial"/>
          <w:sz w:val="24"/>
          <w:szCs w:val="24"/>
        </w:rPr>
        <w:t xml:space="preserve">Według </w:t>
      </w:r>
      <w:proofErr w:type="spellStart"/>
      <w:r w:rsidRPr="00AE6C12">
        <w:rPr>
          <w:rFonts w:ascii="Arial" w:hAnsi="Arial" w:cs="Arial"/>
          <w:sz w:val="24"/>
          <w:szCs w:val="24"/>
        </w:rPr>
        <w:t>Dimitrova</w:t>
      </w:r>
      <w:proofErr w:type="spellEnd"/>
      <w:r w:rsidRPr="00AE6C12">
        <w:rPr>
          <w:rFonts w:ascii="Arial" w:hAnsi="Arial" w:cs="Arial"/>
          <w:sz w:val="24"/>
          <w:szCs w:val="24"/>
        </w:rPr>
        <w:t xml:space="preserve"> et al. (2007) z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 punktu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widzenia zrównoważonego rozwoju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</w:t>
      </w:r>
      <w:r w:rsidRPr="00AE6C12">
        <w:rPr>
          <w:rStyle w:val="hps"/>
          <w:rFonts w:ascii="Arial" w:hAnsi="Arial" w:cs="Arial"/>
          <w:sz w:val="24"/>
          <w:szCs w:val="24"/>
        </w:rPr>
        <w:t>najważniejszym rodzajem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klastrów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przemysłowych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jest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„</w:t>
      </w:r>
      <w:proofErr w:type="spellStart"/>
      <w:r w:rsidRPr="00AE6C12">
        <w:rPr>
          <w:rStyle w:val="hps"/>
          <w:rFonts w:ascii="Arial" w:hAnsi="Arial" w:cs="Arial"/>
          <w:sz w:val="24"/>
          <w:szCs w:val="24"/>
        </w:rPr>
        <w:t>eko</w:t>
      </w:r>
      <w:r w:rsidRPr="00AE6C12">
        <w:rPr>
          <w:rStyle w:val="longtext"/>
          <w:rFonts w:ascii="Arial" w:hAnsi="Arial" w:cs="Arial"/>
          <w:sz w:val="24"/>
          <w:szCs w:val="24"/>
        </w:rPr>
        <w:t>klaster</w:t>
      </w:r>
      <w:proofErr w:type="spellEnd"/>
      <w:r w:rsidRPr="00AE6C12">
        <w:rPr>
          <w:rStyle w:val="longtext"/>
          <w:rFonts w:ascii="Arial" w:hAnsi="Arial" w:cs="Arial"/>
          <w:sz w:val="24"/>
          <w:szCs w:val="24"/>
        </w:rPr>
        <w:t>” (</w:t>
      </w:r>
      <w:proofErr w:type="spellStart"/>
      <w:r w:rsidRPr="00AE6C12">
        <w:rPr>
          <w:rStyle w:val="longtext"/>
          <w:rFonts w:ascii="Arial" w:hAnsi="Arial" w:cs="Arial"/>
          <w:i/>
          <w:sz w:val="24"/>
          <w:szCs w:val="24"/>
        </w:rPr>
        <w:t>eco-cluster</w:t>
      </w:r>
      <w:proofErr w:type="spellEnd"/>
      <w:r w:rsidRPr="00AE6C12">
        <w:rPr>
          <w:rStyle w:val="longtext"/>
          <w:rFonts w:ascii="Arial" w:hAnsi="Arial" w:cs="Arial"/>
          <w:sz w:val="24"/>
          <w:szCs w:val="24"/>
        </w:rPr>
        <w:t xml:space="preserve">), w którym </w:t>
      </w:r>
      <w:r w:rsidRPr="00AE6C12">
        <w:rPr>
          <w:rStyle w:val="hps"/>
          <w:rFonts w:ascii="Arial" w:hAnsi="Arial" w:cs="Arial"/>
          <w:sz w:val="24"/>
          <w:szCs w:val="24"/>
        </w:rPr>
        <w:t>grupa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geograficznie wydzielonych firm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współ</w:t>
      </w:r>
      <w:r w:rsidRPr="00AE6C12">
        <w:rPr>
          <w:rStyle w:val="hps"/>
          <w:rFonts w:ascii="Arial" w:hAnsi="Arial" w:cs="Arial"/>
          <w:sz w:val="24"/>
          <w:szCs w:val="24"/>
        </w:rPr>
        <w:t>pracuje na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rzecz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zminimalizowania wpływu działalności gospodarczej na środowisko przyrodnicze.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Tego typu struktura klastrowa jest traktowana jako </w:t>
      </w:r>
      <w:r w:rsidRPr="00AE6C12">
        <w:rPr>
          <w:rStyle w:val="hps"/>
          <w:rFonts w:ascii="Arial" w:hAnsi="Arial" w:cs="Arial"/>
          <w:sz w:val="24"/>
          <w:szCs w:val="24"/>
        </w:rPr>
        <w:t>sztuczny „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ekosystem” </w:t>
      </w:r>
      <w:r w:rsidRPr="00AE6C12">
        <w:rPr>
          <w:rStyle w:val="hps"/>
          <w:rFonts w:ascii="Arial" w:hAnsi="Arial" w:cs="Arial"/>
          <w:sz w:val="24"/>
          <w:szCs w:val="24"/>
        </w:rPr>
        <w:t>w oparciu o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koncepcję </w:t>
      </w:r>
      <w:r w:rsidRPr="00AE6C12">
        <w:rPr>
          <w:rStyle w:val="hps"/>
          <w:rFonts w:ascii="Arial" w:hAnsi="Arial" w:cs="Arial"/>
          <w:sz w:val="24"/>
          <w:szCs w:val="24"/>
        </w:rPr>
        <w:t>„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ekologii przemysłowej”, postulującej </w:t>
      </w:r>
      <w:r w:rsidRPr="00AE6C12">
        <w:rPr>
          <w:rStyle w:val="hps"/>
          <w:rFonts w:ascii="Arial" w:hAnsi="Arial" w:cs="Arial"/>
          <w:sz w:val="24"/>
          <w:szCs w:val="24"/>
        </w:rPr>
        <w:t>zmianę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liniowych procesów 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produkcyjnych </w:t>
      </w:r>
      <w:r w:rsidRPr="00AE6C12">
        <w:rPr>
          <w:rStyle w:val="hps"/>
          <w:rFonts w:ascii="Arial" w:hAnsi="Arial" w:cs="Arial"/>
          <w:sz w:val="24"/>
          <w:szCs w:val="24"/>
        </w:rPr>
        <w:t>(w których surowce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są przetwarzane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na produkty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produkty uboczne 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i odpady) 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na </w:t>
      </w:r>
      <w:r w:rsidRPr="00AE6C12">
        <w:rPr>
          <w:rStyle w:val="hps"/>
          <w:rFonts w:ascii="Arial" w:hAnsi="Arial" w:cs="Arial"/>
          <w:sz w:val="24"/>
          <w:szCs w:val="24"/>
        </w:rPr>
        <w:t>procesy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produkcyjne </w:t>
      </w:r>
      <w:r w:rsidRPr="00AE6C12">
        <w:rPr>
          <w:rStyle w:val="hps"/>
          <w:rFonts w:ascii="Arial" w:hAnsi="Arial" w:cs="Arial"/>
          <w:sz w:val="24"/>
          <w:szCs w:val="24"/>
        </w:rPr>
        <w:t>w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obiegu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(w których zużyte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produkty,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 xml:space="preserve">produkty </w:t>
      </w:r>
      <w:r w:rsidRPr="00AE6C12">
        <w:rPr>
          <w:rStyle w:val="hps"/>
          <w:rFonts w:ascii="Arial" w:hAnsi="Arial" w:cs="Arial"/>
          <w:sz w:val="24"/>
          <w:szCs w:val="24"/>
        </w:rPr>
        <w:lastRenderedPageBreak/>
        <w:t>uboczne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i odpady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jednego procesu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są używane jako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środki na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inny)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, naśladując </w:t>
      </w:r>
      <w:r w:rsidRPr="00AE6C12">
        <w:rPr>
          <w:rStyle w:val="hps"/>
          <w:rFonts w:ascii="Arial" w:hAnsi="Arial" w:cs="Arial"/>
          <w:sz w:val="24"/>
          <w:szCs w:val="24"/>
        </w:rPr>
        <w:t>zasoby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naturalne</w:t>
      </w:r>
      <w:r w:rsidRPr="00AE6C12">
        <w:rPr>
          <w:rStyle w:val="longtext"/>
          <w:rFonts w:ascii="Arial" w:hAnsi="Arial" w:cs="Arial"/>
          <w:sz w:val="24"/>
          <w:szCs w:val="24"/>
        </w:rPr>
        <w:t xml:space="preserve"> </w:t>
      </w:r>
      <w:r w:rsidRPr="00AE6C12">
        <w:rPr>
          <w:rStyle w:val="hps"/>
          <w:rFonts w:ascii="Arial" w:hAnsi="Arial" w:cs="Arial"/>
          <w:sz w:val="24"/>
          <w:szCs w:val="24"/>
        </w:rPr>
        <w:t>ekosystemu.</w:t>
      </w:r>
      <w:r w:rsidRPr="00AE6C12">
        <w:rPr>
          <w:rFonts w:ascii="Arial" w:eastAsia="MS Mincho" w:hAnsi="Arial" w:cs="Arial"/>
          <w:sz w:val="24"/>
          <w:szCs w:val="24"/>
        </w:rPr>
        <w:t xml:space="preserve"> V. </w:t>
      </w:r>
      <w:proofErr w:type="spellStart"/>
      <w:r w:rsidRPr="00AE6C12">
        <w:rPr>
          <w:rFonts w:ascii="Arial" w:eastAsia="MS Mincho" w:hAnsi="Arial" w:cs="Arial"/>
          <w:sz w:val="24"/>
          <w:szCs w:val="24"/>
        </w:rPr>
        <w:t>Anbumozhi</w:t>
      </w:r>
      <w:proofErr w:type="spellEnd"/>
      <w:r w:rsidRPr="00AE6C12">
        <w:rPr>
          <w:rFonts w:ascii="Arial" w:eastAsia="MS Mincho" w:hAnsi="Arial" w:cs="Arial"/>
          <w:sz w:val="24"/>
          <w:szCs w:val="24"/>
        </w:rPr>
        <w:t xml:space="preserve"> (2008, s. 2) używa pojęcia klastrów </w:t>
      </w:r>
      <w:proofErr w:type="spellStart"/>
      <w:r w:rsidRPr="00AE6C12">
        <w:rPr>
          <w:rFonts w:ascii="Arial" w:eastAsia="MS Mincho" w:hAnsi="Arial" w:cs="Arial"/>
          <w:sz w:val="24"/>
          <w:szCs w:val="24"/>
        </w:rPr>
        <w:t>ekoprzemysłowych</w:t>
      </w:r>
      <w:proofErr w:type="spellEnd"/>
      <w:r w:rsidRPr="00AE6C12">
        <w:rPr>
          <w:rFonts w:ascii="Arial" w:eastAsia="MS Mincho" w:hAnsi="Arial" w:cs="Arial"/>
          <w:sz w:val="24"/>
          <w:szCs w:val="24"/>
        </w:rPr>
        <w:t xml:space="preserve"> (</w:t>
      </w:r>
      <w:r w:rsidRPr="00AE6C12">
        <w:rPr>
          <w:rFonts w:ascii="Arial" w:hAnsi="Arial" w:cs="Arial"/>
          <w:i/>
          <w:sz w:val="24"/>
          <w:szCs w:val="24"/>
        </w:rPr>
        <w:t>Eco-</w:t>
      </w:r>
      <w:proofErr w:type="spellStart"/>
      <w:r w:rsidRPr="00AE6C12">
        <w:rPr>
          <w:rFonts w:ascii="Arial" w:hAnsi="Arial" w:cs="Arial"/>
          <w:i/>
          <w:sz w:val="24"/>
          <w:szCs w:val="24"/>
        </w:rPr>
        <w:t>Industrial</w:t>
      </w:r>
      <w:proofErr w:type="spellEnd"/>
      <w:r w:rsidRPr="00AE6C12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AE6C12">
        <w:rPr>
          <w:rFonts w:ascii="Arial" w:hAnsi="Arial" w:cs="Arial"/>
          <w:i/>
          <w:sz w:val="24"/>
          <w:szCs w:val="24"/>
        </w:rPr>
        <w:t>Clusters</w:t>
      </w:r>
      <w:proofErr w:type="spellEnd"/>
      <w:r w:rsidRPr="00AE6C12">
        <w:rPr>
          <w:rFonts w:ascii="Arial" w:hAnsi="Arial" w:cs="Arial"/>
          <w:i/>
          <w:sz w:val="24"/>
          <w:szCs w:val="24"/>
        </w:rPr>
        <w:t xml:space="preserve"> – </w:t>
      </w:r>
      <w:proofErr w:type="spellStart"/>
      <w:r w:rsidRPr="00AE6C12">
        <w:rPr>
          <w:rFonts w:ascii="Arial" w:hAnsi="Arial" w:cs="Arial"/>
          <w:i/>
          <w:sz w:val="24"/>
          <w:szCs w:val="24"/>
        </w:rPr>
        <w:t>EICs</w:t>
      </w:r>
      <w:proofErr w:type="spellEnd"/>
      <w:r w:rsidRPr="00AE6C12">
        <w:rPr>
          <w:rFonts w:ascii="Arial" w:hAnsi="Arial" w:cs="Arial"/>
          <w:sz w:val="24"/>
          <w:szCs w:val="24"/>
        </w:rPr>
        <w:t>), które definiuje</w:t>
      </w:r>
      <w:r w:rsidRPr="00AE6C12">
        <w:rPr>
          <w:rFonts w:ascii="Arial" w:eastAsia="MS Mincho" w:hAnsi="Arial" w:cs="Arial"/>
          <w:sz w:val="24"/>
          <w:szCs w:val="24"/>
        </w:rPr>
        <w:t xml:space="preserve"> jako „wspólnoty gospodarcze; geograficzne skupiska wzajemnie powiązanych firm w specjalistycznej dziedzinie, które współpracują ze sobą i ze społecznością lokalną, aby efektywnie dzielić zasoby (informacje, materiały, energię, wodę, infrastrukturę, finanse itd.), co prowadzi do poprawy jakości środowiska, korzyści gospodarczych i sprawiedliwego rozwoju zasobów ludzkich, zarówno dla biznesu i społeczności lokalnej”. Efektywne klastry </w:t>
      </w:r>
      <w:proofErr w:type="spellStart"/>
      <w:r w:rsidRPr="00AE6C12">
        <w:rPr>
          <w:rFonts w:ascii="Arial" w:eastAsia="MS Mincho" w:hAnsi="Arial" w:cs="Arial"/>
          <w:sz w:val="24"/>
          <w:szCs w:val="24"/>
        </w:rPr>
        <w:t>ekoprzemysłowe</w:t>
      </w:r>
      <w:proofErr w:type="spellEnd"/>
      <w:r w:rsidRPr="00AE6C12">
        <w:rPr>
          <w:rFonts w:ascii="Arial" w:eastAsia="MS Mincho" w:hAnsi="Arial" w:cs="Arial"/>
          <w:sz w:val="24"/>
          <w:szCs w:val="24"/>
        </w:rPr>
        <w:t xml:space="preserve"> składają się z przedsiębiorstw, które współpracują nie tylko na rzecz zmniejszenia ilości odpadów oraz zanieczyszczenia środowiska, ale także poszukują i wdrażają wszystkie możliwe typy innowacji w celu rozwijania procesów niskoemisyjnych lub zeroemisyjnych oraz tworzenia innowacyjnych </w:t>
      </w:r>
      <w:proofErr w:type="spellStart"/>
      <w:r w:rsidRPr="00AE6C12">
        <w:rPr>
          <w:rFonts w:ascii="Arial" w:eastAsia="MS Mincho" w:hAnsi="Arial" w:cs="Arial"/>
          <w:sz w:val="24"/>
          <w:szCs w:val="24"/>
        </w:rPr>
        <w:t>ekoproduktów</w:t>
      </w:r>
      <w:proofErr w:type="spellEnd"/>
      <w:r w:rsidRPr="00AE6C12">
        <w:rPr>
          <w:rFonts w:ascii="Arial" w:eastAsia="MS Mincho" w:hAnsi="Arial" w:cs="Arial"/>
          <w:sz w:val="24"/>
          <w:szCs w:val="24"/>
        </w:rPr>
        <w:t xml:space="preserve">. </w:t>
      </w:r>
    </w:p>
    <w:p w14:paraId="72D275F0" w14:textId="77777777" w:rsidR="00E0640C" w:rsidRPr="00AE6C12" w:rsidRDefault="00E0640C" w:rsidP="00AE6C12">
      <w:pPr>
        <w:spacing w:after="120" w:line="360" w:lineRule="auto"/>
        <w:rPr>
          <w:rFonts w:ascii="Arial" w:hAnsi="Arial" w:cs="Arial"/>
          <w:sz w:val="24"/>
          <w:szCs w:val="24"/>
        </w:rPr>
      </w:pPr>
    </w:p>
    <w:p w14:paraId="0F037134" w14:textId="77777777" w:rsidR="00E0640C" w:rsidRPr="00AE6C12" w:rsidRDefault="00E0640C" w:rsidP="00AE6C12">
      <w:pPr>
        <w:spacing w:after="120" w:line="360" w:lineRule="auto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>Bibliografia</w:t>
      </w:r>
    </w:p>
    <w:p w14:paraId="121A896C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  <w:lang w:val="en-US"/>
        </w:rPr>
      </w:pP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Barsoumian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S., Riggio R., Severin A., van der Spek T. (2011), Eco</w:t>
      </w:r>
      <w:r w:rsidRPr="00AE6C12">
        <w:rPr>
          <w:rFonts w:ascii="Cambria Math" w:hAnsi="Cambria Math" w:cs="Cambria Math"/>
          <w:sz w:val="24"/>
          <w:szCs w:val="24"/>
          <w:lang w:val="en-US"/>
        </w:rPr>
        <w:t>‐</w:t>
      </w:r>
      <w:r w:rsidRPr="00AE6C12">
        <w:rPr>
          <w:rFonts w:ascii="Arial" w:hAnsi="Arial" w:cs="Arial"/>
          <w:sz w:val="24"/>
          <w:szCs w:val="24"/>
          <w:lang w:val="en-US"/>
        </w:rPr>
        <w:t xml:space="preserve">innovation in cluster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organisations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in the chemical and textile clothing</w:t>
      </w:r>
      <w:r w:rsidRPr="00AE6C12">
        <w:rPr>
          <w:rFonts w:ascii="Cambria Math" w:hAnsi="Cambria Math" w:cs="Cambria Math"/>
          <w:sz w:val="24"/>
          <w:szCs w:val="24"/>
          <w:lang w:val="en-US"/>
        </w:rPr>
        <w:t>‐</w:t>
      </w:r>
      <w:r w:rsidRPr="00AE6C12">
        <w:rPr>
          <w:rFonts w:ascii="Arial" w:hAnsi="Arial" w:cs="Arial"/>
          <w:sz w:val="24"/>
          <w:szCs w:val="24"/>
          <w:lang w:val="en-US"/>
        </w:rPr>
        <w:t xml:space="preserve">leather sectors,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Greenovate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>! Europe EEIG, Brussels 2011.</w:t>
      </w:r>
    </w:p>
    <w:p w14:paraId="1F16AA2F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  <w:lang w:val="en-US"/>
        </w:rPr>
      </w:pPr>
      <w:r w:rsidRPr="00AE6C12">
        <w:rPr>
          <w:rFonts w:ascii="Arial" w:hAnsi="Arial" w:cs="Arial"/>
          <w:sz w:val="24"/>
          <w:szCs w:val="24"/>
          <w:lang w:val="en-US"/>
        </w:rPr>
        <w:t xml:space="preserve">Dimitrov V.,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Lagioia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G., Gallucci T. (2007), Managerial factors for evaluating eco-clustering approach, “Industrial Management &amp; Data Systems”, Vol. 107,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Iss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>. 9, p. 1336.</w:t>
      </w:r>
    </w:p>
    <w:p w14:paraId="438B9E85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 xml:space="preserve">Skawińska, R.I. Zalewski, </w:t>
      </w:r>
      <w:r w:rsidRPr="00AE6C12">
        <w:rPr>
          <w:rFonts w:ascii="Arial" w:hAnsi="Arial" w:cs="Arial"/>
          <w:i/>
          <w:sz w:val="24"/>
          <w:szCs w:val="24"/>
        </w:rPr>
        <w:t>Klastry biznesowe w rozwoju konkurencyjności i innowacyjności regionów. Świat</w:t>
      </w:r>
      <w:r w:rsidRPr="00AE6C12">
        <w:rPr>
          <w:rFonts w:ascii="Arial" w:hAnsi="Arial" w:cs="Arial"/>
          <w:i/>
          <w:sz w:val="24"/>
          <w:szCs w:val="24"/>
        </w:rPr>
        <w:noBreakHyphen/>
        <w:t>Europa</w:t>
      </w:r>
      <w:r w:rsidRPr="00AE6C12">
        <w:rPr>
          <w:rFonts w:ascii="Arial" w:hAnsi="Arial" w:cs="Arial"/>
          <w:i/>
          <w:sz w:val="24"/>
          <w:szCs w:val="24"/>
        </w:rPr>
        <w:noBreakHyphen/>
        <w:t>Polska</w:t>
      </w:r>
      <w:r w:rsidRPr="00AE6C12">
        <w:rPr>
          <w:rFonts w:ascii="Arial" w:hAnsi="Arial" w:cs="Arial"/>
          <w:sz w:val="24"/>
          <w:szCs w:val="24"/>
        </w:rPr>
        <w:t>, Polskie Wydawnictwo Ekonomiczne, Warszawa 2009, s. 29–33.</w:t>
      </w:r>
    </w:p>
    <w:p w14:paraId="5E4D3F2A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</w:rPr>
      </w:pP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Sjøtun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, S. G., &amp;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Njøs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, R. (2019). Green reorientation of clusters and the role of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policy:‘the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normative’and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‘the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neutral’route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. </w:t>
      </w:r>
      <w:proofErr w:type="spellStart"/>
      <w:r w:rsidRPr="00AE6C12">
        <w:rPr>
          <w:rFonts w:ascii="Arial" w:hAnsi="Arial" w:cs="Arial"/>
          <w:sz w:val="24"/>
          <w:szCs w:val="24"/>
        </w:rPr>
        <w:t>European</w:t>
      </w:r>
      <w:proofErr w:type="spellEnd"/>
      <w:r w:rsidRPr="00AE6C12">
        <w:rPr>
          <w:rFonts w:ascii="Arial" w:hAnsi="Arial" w:cs="Arial"/>
          <w:sz w:val="24"/>
          <w:szCs w:val="24"/>
        </w:rPr>
        <w:t xml:space="preserve"> Planning </w:t>
      </w:r>
      <w:proofErr w:type="spellStart"/>
      <w:r w:rsidRPr="00AE6C12">
        <w:rPr>
          <w:rFonts w:ascii="Arial" w:hAnsi="Arial" w:cs="Arial"/>
          <w:sz w:val="24"/>
          <w:szCs w:val="24"/>
        </w:rPr>
        <w:t>Studies</w:t>
      </w:r>
      <w:proofErr w:type="spellEnd"/>
      <w:r w:rsidRPr="00AE6C12">
        <w:rPr>
          <w:rFonts w:ascii="Arial" w:hAnsi="Arial" w:cs="Arial"/>
          <w:sz w:val="24"/>
          <w:szCs w:val="24"/>
        </w:rPr>
        <w:t>, 27(12), 2411-2430.</w:t>
      </w:r>
    </w:p>
    <w:p w14:paraId="547D08D8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</w:rPr>
      </w:pPr>
      <w:r w:rsidRPr="00AE6C12">
        <w:rPr>
          <w:rFonts w:ascii="Arial" w:hAnsi="Arial" w:cs="Arial"/>
          <w:sz w:val="24"/>
          <w:szCs w:val="24"/>
        </w:rPr>
        <w:t xml:space="preserve">Kowalski A.M. (2013). Znaczenie klastrów dla innowacyjności gospodarki w Polsce, Warszawa: Szkoła Główna Handlowa w Warszawie – Oficyna Wydawnicza. </w:t>
      </w:r>
    </w:p>
    <w:p w14:paraId="5BC93776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  <w:lang w:val="en-US"/>
        </w:rPr>
      </w:pP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lastRenderedPageBreak/>
        <w:t>Erkman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 S. (1997), </w:t>
      </w:r>
      <w:r w:rsidRPr="00AE6C12">
        <w:rPr>
          <w:rFonts w:ascii="Arial" w:hAnsi="Arial" w:cs="Arial"/>
          <w:i/>
          <w:sz w:val="24"/>
          <w:szCs w:val="24"/>
          <w:lang w:val="en-US"/>
        </w:rPr>
        <w:t>Industrial ecology: an historical view</w:t>
      </w:r>
      <w:r w:rsidRPr="00AE6C12">
        <w:rPr>
          <w:rFonts w:ascii="Arial" w:hAnsi="Arial" w:cs="Arial"/>
          <w:sz w:val="24"/>
          <w:szCs w:val="24"/>
          <w:lang w:val="en-US"/>
        </w:rPr>
        <w:t>, “Journal of Cleaner Production”, 1997, Vol. 1/2, No. 5, pp. 1–10.</w:t>
      </w:r>
      <w:r w:rsidRPr="00AE6C12">
        <w:rPr>
          <w:rFonts w:ascii="Arial" w:eastAsia="MS Mincho" w:hAnsi="Arial" w:cs="Arial"/>
          <w:sz w:val="24"/>
          <w:szCs w:val="24"/>
          <w:lang w:val="en-US"/>
        </w:rPr>
        <w:t xml:space="preserve"> </w:t>
      </w:r>
    </w:p>
    <w:p w14:paraId="51618069" w14:textId="77777777" w:rsidR="00E0640C" w:rsidRPr="00AE6C12" w:rsidRDefault="00E0640C" w:rsidP="00AE6C12">
      <w:pPr>
        <w:pStyle w:val="Akapitzlist"/>
        <w:numPr>
          <w:ilvl w:val="0"/>
          <w:numId w:val="30"/>
        </w:numPr>
        <w:spacing w:after="120" w:line="360" w:lineRule="auto"/>
        <w:ind w:left="714" w:hanging="357"/>
        <w:contextualSpacing w:val="0"/>
        <w:rPr>
          <w:rFonts w:ascii="Arial" w:hAnsi="Arial" w:cs="Arial"/>
          <w:sz w:val="24"/>
          <w:szCs w:val="24"/>
          <w:lang w:val="en-US"/>
        </w:rPr>
      </w:pPr>
      <w:proofErr w:type="spellStart"/>
      <w:r w:rsidRPr="00AE6C12">
        <w:rPr>
          <w:rFonts w:ascii="Arial" w:eastAsia="MS Mincho" w:hAnsi="Arial" w:cs="Arial"/>
          <w:sz w:val="24"/>
          <w:szCs w:val="24"/>
          <w:lang w:val="en-US"/>
        </w:rPr>
        <w:t>Anbumozhi</w:t>
      </w:r>
      <w:proofErr w:type="spellEnd"/>
      <w:r w:rsidRPr="00AE6C12">
        <w:rPr>
          <w:rFonts w:ascii="Arial" w:eastAsia="MS Mincho" w:hAnsi="Arial" w:cs="Arial"/>
          <w:sz w:val="24"/>
          <w:szCs w:val="24"/>
          <w:lang w:val="en-US"/>
        </w:rPr>
        <w:t xml:space="preserve"> V. (2008), </w:t>
      </w:r>
      <w:r w:rsidRPr="00AE6C12">
        <w:rPr>
          <w:rFonts w:ascii="Arial" w:hAnsi="Arial" w:cs="Arial"/>
          <w:bCs/>
          <w:i/>
          <w:sz w:val="24"/>
          <w:szCs w:val="24"/>
          <w:lang w:val="en-US"/>
        </w:rPr>
        <w:t>Eco-industrial clusters: Enhancing regional economic development through environmental linkages</w:t>
      </w:r>
      <w:r w:rsidRPr="00AE6C12">
        <w:rPr>
          <w:rFonts w:ascii="Arial" w:hAnsi="Arial" w:cs="Arial"/>
          <w:bCs/>
          <w:sz w:val="24"/>
          <w:szCs w:val="24"/>
          <w:lang w:val="en-US"/>
        </w:rPr>
        <w:t xml:space="preserve">, “Policy Brief”, No. 8, June 2008, Institute for Global Environmental Strategies, </w:t>
      </w:r>
      <w:proofErr w:type="spellStart"/>
      <w:r w:rsidRPr="00AE6C12">
        <w:rPr>
          <w:rFonts w:ascii="Arial" w:hAnsi="Arial" w:cs="Arial"/>
          <w:bCs/>
          <w:sz w:val="24"/>
          <w:szCs w:val="24"/>
          <w:lang w:val="en-US"/>
        </w:rPr>
        <w:t>Kamiyamaguchi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 xml:space="preserve">, </w:t>
      </w:r>
      <w:proofErr w:type="spellStart"/>
      <w:r w:rsidRPr="00AE6C12">
        <w:rPr>
          <w:rFonts w:ascii="Arial" w:hAnsi="Arial" w:cs="Arial"/>
          <w:sz w:val="24"/>
          <w:szCs w:val="24"/>
          <w:lang w:val="en-US"/>
        </w:rPr>
        <w:t>Hayama</w:t>
      </w:r>
      <w:proofErr w:type="spellEnd"/>
      <w:r w:rsidRPr="00AE6C12">
        <w:rPr>
          <w:rFonts w:ascii="Arial" w:hAnsi="Arial" w:cs="Arial"/>
          <w:sz w:val="24"/>
          <w:szCs w:val="24"/>
          <w:lang w:val="en-US"/>
        </w:rPr>
        <w:t>, Kanagawa</w:t>
      </w:r>
      <w:r w:rsidRPr="00AE6C12">
        <w:rPr>
          <w:rFonts w:ascii="Arial" w:hAnsi="Arial" w:cs="Arial"/>
          <w:bCs/>
          <w:sz w:val="24"/>
          <w:szCs w:val="24"/>
          <w:lang w:val="en-US"/>
        </w:rPr>
        <w:t xml:space="preserve"> Japan 2008.</w:t>
      </w:r>
    </w:p>
    <w:p w14:paraId="6EDC0402" w14:textId="666FEA7E" w:rsidR="00BC3A65" w:rsidRPr="00AE6C12" w:rsidRDefault="00BC3A65" w:rsidP="00AE6C12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</w:p>
    <w:sectPr w:rsidR="00BC3A65" w:rsidRPr="00AE6C12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A62051" w14:textId="77777777" w:rsidR="00131694" w:rsidRDefault="00131694" w:rsidP="003C513B">
      <w:pPr>
        <w:spacing w:after="0" w:line="240" w:lineRule="auto"/>
      </w:pPr>
      <w:r>
        <w:separator/>
      </w:r>
    </w:p>
  </w:endnote>
  <w:endnote w:type="continuationSeparator" w:id="0">
    <w:p w14:paraId="6180B123" w14:textId="77777777" w:rsidR="00131694" w:rsidRDefault="00131694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1FEBC6" w14:textId="77777777" w:rsidR="00131694" w:rsidRDefault="00131694" w:rsidP="003C513B">
      <w:pPr>
        <w:spacing w:after="0" w:line="240" w:lineRule="auto"/>
      </w:pPr>
      <w:r>
        <w:separator/>
      </w:r>
    </w:p>
  </w:footnote>
  <w:footnote w:type="continuationSeparator" w:id="0">
    <w:p w14:paraId="282E2823" w14:textId="77777777" w:rsidR="00131694" w:rsidRDefault="00131694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2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8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4"/>
  </w:num>
  <w:num w:numId="2" w16cid:durableId="696547362">
    <w:abstractNumId w:val="20"/>
  </w:num>
  <w:num w:numId="3" w16cid:durableId="1869222873">
    <w:abstractNumId w:val="27"/>
  </w:num>
  <w:num w:numId="4" w16cid:durableId="765223711">
    <w:abstractNumId w:val="21"/>
  </w:num>
  <w:num w:numId="5" w16cid:durableId="1859393560">
    <w:abstractNumId w:val="23"/>
  </w:num>
  <w:num w:numId="6" w16cid:durableId="12462334">
    <w:abstractNumId w:val="7"/>
  </w:num>
  <w:num w:numId="7" w16cid:durableId="1699433921">
    <w:abstractNumId w:val="22"/>
  </w:num>
  <w:num w:numId="8" w16cid:durableId="579145953">
    <w:abstractNumId w:val="14"/>
  </w:num>
  <w:num w:numId="9" w16cid:durableId="457845199">
    <w:abstractNumId w:val="0"/>
  </w:num>
  <w:num w:numId="10" w16cid:durableId="614871375">
    <w:abstractNumId w:val="28"/>
  </w:num>
  <w:num w:numId="11" w16cid:durableId="1477379881">
    <w:abstractNumId w:val="6"/>
  </w:num>
  <w:num w:numId="12" w16cid:durableId="806119431">
    <w:abstractNumId w:val="18"/>
  </w:num>
  <w:num w:numId="13" w16cid:durableId="577253963">
    <w:abstractNumId w:val="19"/>
  </w:num>
  <w:num w:numId="14" w16cid:durableId="42218609">
    <w:abstractNumId w:val="16"/>
  </w:num>
  <w:num w:numId="15" w16cid:durableId="220100898">
    <w:abstractNumId w:val="26"/>
  </w:num>
  <w:num w:numId="16" w16cid:durableId="1293637815">
    <w:abstractNumId w:val="10"/>
  </w:num>
  <w:num w:numId="17" w16cid:durableId="461732615">
    <w:abstractNumId w:val="2"/>
  </w:num>
  <w:num w:numId="18" w16cid:durableId="311907466">
    <w:abstractNumId w:val="12"/>
  </w:num>
  <w:num w:numId="19" w16cid:durableId="1636064392">
    <w:abstractNumId w:val="29"/>
  </w:num>
  <w:num w:numId="20" w16cid:durableId="982734635">
    <w:abstractNumId w:val="13"/>
  </w:num>
  <w:num w:numId="21" w16cid:durableId="814877182">
    <w:abstractNumId w:val="11"/>
  </w:num>
  <w:num w:numId="22" w16cid:durableId="1296837055">
    <w:abstractNumId w:val="5"/>
  </w:num>
  <w:num w:numId="23" w16cid:durableId="17434870">
    <w:abstractNumId w:val="24"/>
  </w:num>
  <w:num w:numId="24" w16cid:durableId="1631671284">
    <w:abstractNumId w:val="17"/>
  </w:num>
  <w:num w:numId="25" w16cid:durableId="1601836864">
    <w:abstractNumId w:val="3"/>
  </w:num>
  <w:num w:numId="26" w16cid:durableId="1767731004">
    <w:abstractNumId w:val="1"/>
  </w:num>
  <w:num w:numId="27" w16cid:durableId="439881234">
    <w:abstractNumId w:val="9"/>
  </w:num>
  <w:num w:numId="28" w16cid:durableId="1852643888">
    <w:abstractNumId w:val="25"/>
  </w:num>
  <w:num w:numId="29" w16cid:durableId="1621300484">
    <w:abstractNumId w:val="15"/>
  </w:num>
  <w:num w:numId="30" w16cid:durableId="199452305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43121"/>
    <w:rsid w:val="00057197"/>
    <w:rsid w:val="000604B3"/>
    <w:rsid w:val="000813C3"/>
    <w:rsid w:val="000817FF"/>
    <w:rsid w:val="00085DA6"/>
    <w:rsid w:val="000A28A2"/>
    <w:rsid w:val="000A7934"/>
    <w:rsid w:val="000E2620"/>
    <w:rsid w:val="000F4038"/>
    <w:rsid w:val="000F4DCC"/>
    <w:rsid w:val="00110C56"/>
    <w:rsid w:val="00131694"/>
    <w:rsid w:val="00135864"/>
    <w:rsid w:val="001C7283"/>
    <w:rsid w:val="002C2DDA"/>
    <w:rsid w:val="002C7986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561EB"/>
    <w:rsid w:val="004D282F"/>
    <w:rsid w:val="0052608F"/>
    <w:rsid w:val="00537297"/>
    <w:rsid w:val="00574127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D6FD9"/>
    <w:rsid w:val="00AE6C12"/>
    <w:rsid w:val="00B45507"/>
    <w:rsid w:val="00B73705"/>
    <w:rsid w:val="00BC3A65"/>
    <w:rsid w:val="00BF196C"/>
    <w:rsid w:val="00C05B1A"/>
    <w:rsid w:val="00C10415"/>
    <w:rsid w:val="00D6339D"/>
    <w:rsid w:val="00D939FB"/>
    <w:rsid w:val="00DD3FE2"/>
    <w:rsid w:val="00E01A8E"/>
    <w:rsid w:val="00E027B1"/>
    <w:rsid w:val="00E0640C"/>
    <w:rsid w:val="00E147BD"/>
    <w:rsid w:val="00E163D8"/>
    <w:rsid w:val="00EA6BFB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0826CA9-1578-4AC4-85C1-4F7AEFCBC3CF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96D8D2B0-5255-440B-80AF-3E685ACBDF0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B232AB-C549-4F07-A0CE-2F8B43CBD9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919</Words>
  <Characters>5518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2023-03-01T22:15:00Z</dcterms:created>
  <dcterms:modified xsi:type="dcterms:W3CDTF">2023-03-01T22:44:00Z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