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EA2306" w14:textId="77777777" w:rsidR="000A28A2" w:rsidRPr="00AB4562" w:rsidRDefault="000A28A2" w:rsidP="00AB4562">
      <w:pPr>
        <w:spacing w:line="360" w:lineRule="auto"/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</w:pPr>
      <w:r w:rsidRPr="00AB4562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Edukacja transformacyjna - propozycje zmian w podejściu do kształcenia zawodowego młodzieży – część 2</w:t>
      </w:r>
    </w:p>
    <w:p w14:paraId="564E85C7" w14:textId="77777777" w:rsidR="000A28A2" w:rsidRPr="00AB4562" w:rsidRDefault="000A28A2" w:rsidP="00AB4562">
      <w:pPr>
        <w:spacing w:line="360" w:lineRule="auto"/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</w:pPr>
      <w:r w:rsidRPr="00AB4562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 xml:space="preserve">Dr Andrzej Wojciech </w:t>
      </w:r>
      <w:proofErr w:type="spellStart"/>
      <w:r w:rsidRPr="00AB4562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Stępnikowski</w:t>
      </w:r>
      <w:proofErr w:type="spellEnd"/>
    </w:p>
    <w:p w14:paraId="1D6F1303" w14:textId="77777777" w:rsidR="000A28A2" w:rsidRPr="00AB4562" w:rsidRDefault="000A28A2" w:rsidP="00AB456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49392D43" w14:textId="77777777" w:rsidR="000A28A2" w:rsidRPr="00AB4562" w:rsidRDefault="000A28A2" w:rsidP="00AB456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B4562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Propozycje zmian w podejściu do kształcenia zawodowego młodzieży (i nauczycieli)</w:t>
      </w:r>
    </w:p>
    <w:p w14:paraId="318A2EA5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1D2C3879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  <w:r w:rsidRPr="00AB4562">
        <w:rPr>
          <w:rFonts w:ascii="Arial" w:hAnsi="Arial" w:cs="Arial"/>
          <w:sz w:val="24"/>
          <w:szCs w:val="24"/>
        </w:rPr>
        <w:t xml:space="preserve">Mając powyższe na uwadze, proponuje się równoległe kształcenie uczniów i ich mistrzów oraz nauczycieli formując ich kompetencje w zakresie zrównoważonego rozwoju – z uwzględnieniem opracowanych właśnie </w:t>
      </w:r>
      <w:r w:rsidRPr="00AB4562">
        <w:rPr>
          <w:rFonts w:ascii="Arial" w:hAnsi="Arial" w:cs="Arial"/>
          <w:i/>
          <w:sz w:val="24"/>
          <w:szCs w:val="24"/>
        </w:rPr>
        <w:t>Europejskich ram kompetencji w zakresie zrównoważonego rozwoju</w:t>
      </w:r>
      <w:r w:rsidRPr="00AB4562">
        <w:rPr>
          <w:rFonts w:ascii="Arial" w:hAnsi="Arial" w:cs="Arial"/>
          <w:sz w:val="24"/>
          <w:szCs w:val="24"/>
        </w:rPr>
        <w:t xml:space="preserve"> (</w:t>
      </w:r>
      <w:proofErr w:type="spellStart"/>
      <w:r w:rsidRPr="00AB4562">
        <w:rPr>
          <w:rFonts w:ascii="Arial" w:hAnsi="Arial" w:cs="Arial"/>
          <w:i/>
          <w:iCs/>
          <w:sz w:val="24"/>
          <w:szCs w:val="24"/>
        </w:rPr>
        <w:t>GreenComp</w:t>
      </w:r>
      <w:proofErr w:type="spellEnd"/>
      <w:r w:rsidRPr="00AB4562">
        <w:rPr>
          <w:rFonts w:ascii="Arial" w:hAnsi="Arial" w:cs="Arial"/>
          <w:sz w:val="24"/>
          <w:szCs w:val="24"/>
        </w:rPr>
        <w:t xml:space="preserve">) autorstwa B. </w:t>
      </w:r>
      <w:proofErr w:type="spellStart"/>
      <w:r w:rsidRPr="00AB4562">
        <w:rPr>
          <w:rFonts w:ascii="Arial" w:hAnsi="Arial" w:cs="Arial"/>
          <w:sz w:val="24"/>
          <w:szCs w:val="24"/>
        </w:rPr>
        <w:t>Guia</w:t>
      </w:r>
      <w:proofErr w:type="spellEnd"/>
      <w:r w:rsidRPr="00AB4562">
        <w:rPr>
          <w:rFonts w:ascii="Arial" w:hAnsi="Arial" w:cs="Arial"/>
          <w:sz w:val="24"/>
          <w:szCs w:val="24"/>
        </w:rPr>
        <w:t xml:space="preserve"> i innych badaczy ze Wspólnotowego Centrum Badawczego. (</w:t>
      </w:r>
      <w:hyperlink r:id="rId9" w:history="1">
        <w:r w:rsidRPr="00AB4562">
          <w:rPr>
            <w:rStyle w:val="Hipercze"/>
            <w:rFonts w:ascii="Arial" w:hAnsi="Arial" w:cs="Arial"/>
            <w:sz w:val="24"/>
            <w:szCs w:val="24"/>
          </w:rPr>
          <w:t>https://publications.jrc.ec.europa.eu/repository/handle/JRC128040</w:t>
        </w:r>
      </w:hyperlink>
      <w:r w:rsidRPr="00AB4562">
        <w:rPr>
          <w:rFonts w:ascii="Arial" w:hAnsi="Arial" w:cs="Arial"/>
          <w:sz w:val="24"/>
          <w:szCs w:val="24"/>
        </w:rPr>
        <w:t>).</w:t>
      </w:r>
    </w:p>
    <w:p w14:paraId="447F4D34" w14:textId="77777777" w:rsidR="000A28A2" w:rsidRPr="00AB4562" w:rsidRDefault="000A28A2" w:rsidP="00AB456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Cs/>
          <w:sz w:val="24"/>
          <w:szCs w:val="24"/>
        </w:rPr>
      </w:pPr>
      <w:r w:rsidRPr="00AB4562">
        <w:rPr>
          <w:rFonts w:ascii="Arial" w:hAnsi="Arial" w:cs="Arial"/>
          <w:iCs/>
          <w:color w:val="000000"/>
          <w:sz w:val="24"/>
          <w:szCs w:val="24"/>
        </w:rPr>
        <w:t xml:space="preserve">Efekty uczenia się zgodnie z transformacyjnym uczeniem się są opisane przez wiedzę, umiejętności, postawy i wartości (w Polskiej Ramie Kwalifikacji mamy odniesienia do kompetencji społecznych w miejsce postaw i wartości). </w:t>
      </w:r>
      <w:r w:rsidRPr="00AB4562">
        <w:rPr>
          <w:rFonts w:ascii="Arial" w:hAnsi="Arial" w:cs="Arial"/>
          <w:sz w:val="24"/>
          <w:szCs w:val="24"/>
        </w:rPr>
        <w:t>Szukając odpowiedzi na pytanie „</w:t>
      </w:r>
      <w:r w:rsidRPr="00AB4562">
        <w:rPr>
          <w:rFonts w:ascii="Arial" w:hAnsi="Arial" w:cs="Arial"/>
          <w:i/>
          <w:iCs/>
          <w:sz w:val="24"/>
          <w:szCs w:val="24"/>
        </w:rPr>
        <w:t>Jak powinniśmy przygotować przyszłych fachowców, nauczycieli i mistrzów w zakresie realizacji celów zrównoważonego rozwoju?</w:t>
      </w:r>
      <w:r w:rsidRPr="00AB4562">
        <w:rPr>
          <w:rFonts w:ascii="Arial" w:hAnsi="Arial" w:cs="Arial"/>
          <w:sz w:val="24"/>
          <w:szCs w:val="24"/>
        </w:rPr>
        <w:t xml:space="preserve">" warto zajrzeć do </w:t>
      </w:r>
      <w:r w:rsidRPr="00AB4562">
        <w:rPr>
          <w:rFonts w:ascii="Arial" w:hAnsi="Arial" w:cs="Arial"/>
          <w:i/>
          <w:iCs/>
          <w:sz w:val="24"/>
          <w:szCs w:val="24"/>
        </w:rPr>
        <w:t xml:space="preserve">OECD Learning </w:t>
      </w:r>
      <w:proofErr w:type="spellStart"/>
      <w:r w:rsidRPr="00AB4562">
        <w:rPr>
          <w:rFonts w:ascii="Arial" w:hAnsi="Arial" w:cs="Arial"/>
          <w:i/>
          <w:iCs/>
          <w:sz w:val="24"/>
          <w:szCs w:val="24"/>
        </w:rPr>
        <w:t>Compass</w:t>
      </w:r>
      <w:proofErr w:type="spellEnd"/>
      <w:r w:rsidRPr="00AB4562">
        <w:rPr>
          <w:rFonts w:ascii="Arial" w:hAnsi="Arial" w:cs="Arial"/>
          <w:i/>
          <w:iCs/>
          <w:sz w:val="24"/>
          <w:szCs w:val="24"/>
        </w:rPr>
        <w:t xml:space="preserve"> 2030</w:t>
      </w:r>
      <w:r w:rsidRPr="00AB4562">
        <w:rPr>
          <w:rFonts w:ascii="Arial" w:hAnsi="Arial" w:cs="Arial"/>
          <w:sz w:val="24"/>
          <w:szCs w:val="24"/>
        </w:rPr>
        <w:t xml:space="preserve"> sprawdzając, jak tworzyć takie środowiska uczenia się, które „pielęgnowałyby” kompetencje transformacyjne (</w:t>
      </w:r>
      <w:proofErr w:type="spellStart"/>
      <w:r w:rsidRPr="00AB4562">
        <w:rPr>
          <w:rFonts w:ascii="Arial" w:hAnsi="Arial" w:cs="Arial"/>
          <w:sz w:val="24"/>
          <w:szCs w:val="24"/>
        </w:rPr>
        <w:t>Bianchi</w:t>
      </w:r>
      <w:proofErr w:type="spellEnd"/>
      <w:r w:rsidRPr="00AB4562">
        <w:rPr>
          <w:rFonts w:ascii="Arial" w:hAnsi="Arial" w:cs="Arial"/>
          <w:sz w:val="24"/>
          <w:szCs w:val="24"/>
        </w:rPr>
        <w:t xml:space="preserve"> G, s. 28). Przyszli fachowcy-edukatorzy powinni pozyskać takie właśnie kluczowe kompetencje wraz z zawodowymi oraz dydaktycznymi (elementy pedagogiki/andragogiki). </w:t>
      </w:r>
      <w:bookmarkStart w:id="0" w:name="_Hlk94098127"/>
      <w:r w:rsidRPr="00AB4562">
        <w:rPr>
          <w:rFonts w:ascii="Arial" w:hAnsi="Arial" w:cs="Arial"/>
          <w:sz w:val="24"/>
          <w:szCs w:val="24"/>
        </w:rPr>
        <w:t>Kompetencje dydaktyczne określają bowiem możliwości zastosowania wybranych metod, form i technik przekazu informacji dla uczestników z zastosowaniem technologii TIK i umiejętności komunikacyjnych oraz „rozumienia pełnionych roli społecznych i zawodowych” (Sałata E. 2013, s. 81-90)</w:t>
      </w:r>
      <w:bookmarkEnd w:id="0"/>
      <w:r w:rsidRPr="00AB4562">
        <w:rPr>
          <w:rFonts w:ascii="Arial" w:hAnsi="Arial" w:cs="Arial"/>
          <w:sz w:val="24"/>
          <w:szCs w:val="24"/>
        </w:rPr>
        <w:t>. „</w:t>
      </w:r>
      <w:r w:rsidRPr="00AB4562">
        <w:rPr>
          <w:rFonts w:ascii="Arial" w:hAnsi="Arial" w:cs="Arial"/>
          <w:iCs/>
          <w:sz w:val="24"/>
          <w:szCs w:val="24"/>
        </w:rPr>
        <w:t xml:space="preserve">Kompas uczenia się OECD” (ang. </w:t>
      </w:r>
      <w:r w:rsidRPr="00AB4562">
        <w:rPr>
          <w:rFonts w:ascii="Arial" w:hAnsi="Arial" w:cs="Arial"/>
          <w:i/>
          <w:iCs/>
          <w:sz w:val="24"/>
          <w:szCs w:val="24"/>
        </w:rPr>
        <w:t xml:space="preserve">Learning </w:t>
      </w:r>
      <w:proofErr w:type="spellStart"/>
      <w:r w:rsidRPr="00AB4562">
        <w:rPr>
          <w:rFonts w:ascii="Arial" w:hAnsi="Arial" w:cs="Arial"/>
          <w:i/>
          <w:iCs/>
          <w:sz w:val="24"/>
          <w:szCs w:val="24"/>
        </w:rPr>
        <w:t>Compass</w:t>
      </w:r>
      <w:proofErr w:type="spellEnd"/>
      <w:r w:rsidRPr="00AB4562">
        <w:rPr>
          <w:rFonts w:ascii="Arial" w:hAnsi="Arial" w:cs="Arial"/>
          <w:iCs/>
          <w:sz w:val="24"/>
          <w:szCs w:val="24"/>
        </w:rPr>
        <w:t>)</w:t>
      </w:r>
      <w:r w:rsidRPr="00AB4562">
        <w:rPr>
          <w:rFonts w:ascii="Arial" w:hAnsi="Arial" w:cs="Arial"/>
          <w:sz w:val="24"/>
          <w:szCs w:val="24"/>
        </w:rPr>
        <w:t xml:space="preserve"> pozwala zrozumieć kompleksowość zagadnień powiązanych z kompetencjami wymaganymi w edukacji dla przyszłości, co jest kluczowe dla wszystkich edukatorów z obszaru Agendy 2030.</w:t>
      </w:r>
    </w:p>
    <w:p w14:paraId="62C19629" w14:textId="77777777" w:rsidR="000A28A2" w:rsidRPr="00AB4562" w:rsidRDefault="000A28A2" w:rsidP="00AB456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AB4562">
        <w:rPr>
          <w:rFonts w:ascii="Arial" w:hAnsi="Arial" w:cs="Arial"/>
          <w:sz w:val="24"/>
          <w:szCs w:val="24"/>
        </w:rPr>
        <w:t xml:space="preserve">Uczenie się (zwłaszcza transformacyjne) zasadza się na kształtowaniu postaw i wartości, które wzbogacają nasze osobowości. Uczymy się wiedzy i umiejętności nie </w:t>
      </w:r>
      <w:r w:rsidRPr="00AB4562">
        <w:rPr>
          <w:rFonts w:ascii="Arial" w:hAnsi="Arial" w:cs="Arial"/>
          <w:sz w:val="24"/>
          <w:szCs w:val="24"/>
        </w:rPr>
        <w:lastRenderedPageBreak/>
        <w:t>tylko dla nich samych, ale i dla „wyższych celów”, które są powiązane z naszym poglądem na życie. Te poglądy są funkcją naszych osobowości z ich inteligencją, doświadczeniami, postawami i wartościami. Jednak w centrum naszej osobowości znajduje się właśnie etyka. Maria Grzegorzewska zwykła zaś mawiać, że wartość nauczyciela jest mierzona jego/jej postawą względem drugiego człowieka („nauczyciel musi być człowiekiem wolnym, etycznym, uspołecznionym i kompletnym” i wiernym swoim przekonaniom). J. W. Dawid wskazywał, że pedagog (w naszych kontekście też trener albo i szerzej edukator) musi reprezentować określone wartości etyczne i odpowiedzialność powiązane z poczuciem obowiązku, ciągłym doskonaleniem się, gotowością do poświęceń i zdolnością przeciwstawiania się przeciwnościom losu. Edukacja ekologiczna i – szerzej ujmując – w zakresie zrównoważonego rozwoju, powinna odbywać się nie tylko w „ławce szkolnej”, ale przede wszystkim w miejscu pracy i na warsztatach szkolnych, bowiem to tam uczeń może poznać w praktyce wartość (aksjologiczną i ekonomiczną) założeń Agendy 2030. „</w:t>
      </w:r>
      <w:r w:rsidRPr="00AB4562">
        <w:rPr>
          <w:rFonts w:ascii="Arial" w:hAnsi="Arial" w:cs="Arial"/>
          <w:i/>
          <w:sz w:val="24"/>
          <w:szCs w:val="24"/>
        </w:rPr>
        <w:t xml:space="preserve">Learning by </w:t>
      </w:r>
      <w:proofErr w:type="spellStart"/>
      <w:r w:rsidRPr="00AB4562">
        <w:rPr>
          <w:rFonts w:ascii="Arial" w:hAnsi="Arial" w:cs="Arial"/>
          <w:i/>
          <w:sz w:val="24"/>
          <w:szCs w:val="24"/>
        </w:rPr>
        <w:t>doing</w:t>
      </w:r>
      <w:proofErr w:type="spellEnd"/>
      <w:r w:rsidRPr="00AB4562">
        <w:rPr>
          <w:rFonts w:ascii="Arial" w:hAnsi="Arial" w:cs="Arial"/>
          <w:sz w:val="24"/>
          <w:szCs w:val="24"/>
        </w:rPr>
        <w:t xml:space="preserve">” realizowana od pokoleń przez rzemieślników i rozpropagowana </w:t>
      </w:r>
      <w:proofErr w:type="gramStart"/>
      <w:r w:rsidRPr="00AB4562">
        <w:rPr>
          <w:rFonts w:ascii="Arial" w:hAnsi="Arial" w:cs="Arial"/>
          <w:sz w:val="24"/>
          <w:szCs w:val="24"/>
        </w:rPr>
        <w:t>przez  Johna</w:t>
      </w:r>
      <w:proofErr w:type="gramEnd"/>
      <w:r w:rsidRPr="00AB4562">
        <w:rPr>
          <w:rFonts w:ascii="Arial" w:hAnsi="Arial" w:cs="Arial"/>
          <w:sz w:val="24"/>
          <w:szCs w:val="24"/>
        </w:rPr>
        <w:t xml:space="preserve"> Deweya jest nadal najskuteczniejszą formą kształcenia nawyków i postaw. </w:t>
      </w:r>
    </w:p>
    <w:p w14:paraId="37AA8DAB" w14:textId="77777777" w:rsidR="000A28A2" w:rsidRPr="00AB4562" w:rsidRDefault="000A28A2" w:rsidP="00AB4562">
      <w:pPr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</w:p>
    <w:p w14:paraId="2509ACBE" w14:textId="77777777" w:rsidR="000A28A2" w:rsidRPr="00AB4562" w:rsidRDefault="000A28A2" w:rsidP="00AB456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B4562">
        <w:rPr>
          <w:rFonts w:ascii="Arial" w:hAnsi="Arial" w:cs="Arial"/>
          <w:b/>
          <w:sz w:val="24"/>
          <w:szCs w:val="24"/>
        </w:rPr>
        <w:t>Podsumowanie</w:t>
      </w:r>
    </w:p>
    <w:p w14:paraId="7F34C3C5" w14:textId="77777777" w:rsidR="000A28A2" w:rsidRPr="00AB4562" w:rsidRDefault="000A28A2" w:rsidP="00AB456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AB4562">
        <w:rPr>
          <w:rFonts w:ascii="Arial" w:hAnsi="Arial" w:cs="Arial"/>
          <w:sz w:val="24"/>
          <w:szCs w:val="24"/>
        </w:rPr>
        <w:t>Kończąc, a właściwie dopiero rozpoczynając, rozważania nad przyszłością (międzygeneracyjnego) kształcenia zawodowego należy ująć kwestię holistycznie – zarówno z punktu widzenia ucznia, jak i nauczyciela – mając na uwadze wynikający z Kompasu Edukacyjnego OECD tzw. „</w:t>
      </w:r>
      <w:proofErr w:type="spellStart"/>
      <w:r w:rsidRPr="00AB4562">
        <w:rPr>
          <w:rFonts w:ascii="Arial" w:hAnsi="Arial" w:cs="Arial"/>
          <w:i/>
          <w:sz w:val="24"/>
          <w:szCs w:val="24"/>
        </w:rPr>
        <w:t>well-being</w:t>
      </w:r>
      <w:proofErr w:type="spellEnd"/>
      <w:r w:rsidRPr="00AB4562">
        <w:rPr>
          <w:rFonts w:ascii="Arial" w:hAnsi="Arial" w:cs="Arial"/>
          <w:sz w:val="24"/>
          <w:szCs w:val="24"/>
        </w:rPr>
        <w:t>”, czyli dobrostan, zarówno nasz, jak i otoczenia oraz –szeroko rzecz biorąc – naszej Ziemi. Nauczyciel, mistrz czy instruktor powinni być osobami świadomymi znaczenia etycznego myślenia i działania (być w stanie walczyć z własnym egoizmem i być zorientowaną na dobro wspólne). Durkheim i inni teoretycy nauk społecznych wskazali, że problemem współczesnych społeczeństw jest trudność dzielenia się naszą indywidualnością z innymi istotami i świadomość konieczności przezwyciężenia samolubnych postaw i jednocześnie stawania się bardziej otwartym na wspólne dobra (</w:t>
      </w:r>
      <w:proofErr w:type="spellStart"/>
      <w:r w:rsidRPr="00AB4562">
        <w:rPr>
          <w:rFonts w:ascii="Arial" w:hAnsi="Arial" w:cs="Arial"/>
          <w:sz w:val="24"/>
          <w:szCs w:val="24"/>
        </w:rPr>
        <w:t>Ćurko</w:t>
      </w:r>
      <w:proofErr w:type="spellEnd"/>
      <w:r w:rsidRPr="00AB4562">
        <w:rPr>
          <w:rFonts w:ascii="Arial" w:hAnsi="Arial" w:cs="Arial"/>
          <w:sz w:val="24"/>
          <w:szCs w:val="24"/>
        </w:rPr>
        <w:t xml:space="preserve"> B., i in., s. 63). Odpowiednio kształtując młodzież i nauczycieli możemy obecną sytuację zmienić i kształtować postawy w pożądanym przez Agendę 2030 kierunku.</w:t>
      </w:r>
    </w:p>
    <w:p w14:paraId="26475919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1A31E9BA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  <w:r w:rsidRPr="00AB4562">
        <w:rPr>
          <w:rFonts w:ascii="Arial" w:hAnsi="Arial" w:cs="Arial"/>
          <w:b/>
          <w:sz w:val="24"/>
          <w:szCs w:val="24"/>
        </w:rPr>
        <w:t xml:space="preserve">Dla przyszłych nauczycieli (w tym instruktorów praktycznej nauki zawodu) jedną z najważniejszych kwestii jest umiejętność doboru odpowiednich metod i narzędzi, aby dotrzeć do uczestników z głównymi przesłaniami i móc wpływać na ich postawy. </w:t>
      </w:r>
      <w:r w:rsidRPr="00AB4562">
        <w:rPr>
          <w:rFonts w:ascii="Arial" w:hAnsi="Arial" w:cs="Arial"/>
          <w:bCs/>
          <w:sz w:val="24"/>
          <w:szCs w:val="24"/>
        </w:rPr>
        <w:t>Wśród poniższych metod możemy zobaczyć te uniwersalne, a także tę związaną z dzieleniem się wiedzą w ramach danej społeczności oraz jeden przykład edukacji ekologicznej (praktyczny</w:t>
      </w:r>
      <w:proofErr w:type="gramStart"/>
      <w:r w:rsidRPr="00AB4562">
        <w:rPr>
          <w:rFonts w:ascii="Arial" w:hAnsi="Arial" w:cs="Arial"/>
          <w:bCs/>
          <w:sz w:val="24"/>
          <w:szCs w:val="24"/>
        </w:rPr>
        <w:t>).Wydaje</w:t>
      </w:r>
      <w:proofErr w:type="gramEnd"/>
      <w:r w:rsidRPr="00AB4562">
        <w:rPr>
          <w:rFonts w:ascii="Arial" w:hAnsi="Arial" w:cs="Arial"/>
          <w:bCs/>
          <w:sz w:val="24"/>
          <w:szCs w:val="24"/>
        </w:rPr>
        <w:t xml:space="preserve"> się, że uniwersalne metody pedagogiczne są raczej bardziej ogólne i mniej skuteczne niż dedykowane, z wyjątkiem dwóch pozytywnych przykładów "studiów przypadku" i "uczenia się opartego na projektach / problemowego". </w:t>
      </w:r>
      <w:r w:rsidRPr="00AB4562">
        <w:rPr>
          <w:rFonts w:ascii="Arial" w:hAnsi="Arial" w:cs="Arial"/>
          <w:sz w:val="24"/>
          <w:szCs w:val="24"/>
        </w:rPr>
        <w:t xml:space="preserve">Skuteczność przykładowo wybranych podejść pedagogicznych do nauczania zrównoważonego rozwoju zebrano poniżej w tabeli 1. Ramy łączące pedagogiczne podejścia do kompetencji w zakresie zrównoważonego rozwoju (pełna tabela została opracowana przez </w:t>
      </w:r>
      <w:proofErr w:type="spellStart"/>
      <w:r w:rsidRPr="00AB4562">
        <w:rPr>
          <w:rFonts w:ascii="Arial" w:hAnsi="Arial" w:cs="Arial"/>
          <w:sz w:val="24"/>
          <w:szCs w:val="24"/>
        </w:rPr>
        <w:t>Bianchi</w:t>
      </w:r>
      <w:proofErr w:type="spellEnd"/>
      <w:r w:rsidRPr="00AB4562">
        <w:rPr>
          <w:rFonts w:ascii="Arial" w:hAnsi="Arial" w:cs="Arial"/>
          <w:sz w:val="24"/>
          <w:szCs w:val="24"/>
        </w:rPr>
        <w:t xml:space="preserve"> G. 2020).</w:t>
      </w:r>
    </w:p>
    <w:p w14:paraId="07E04FA7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435C6D4B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4BD9B5DB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7A2263B4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1457E5BB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0B14FBCC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</w:p>
    <w:p w14:paraId="3F0C71D0" w14:textId="77777777" w:rsidR="000A28A2" w:rsidRPr="00AB4562" w:rsidRDefault="000A28A2" w:rsidP="00AB456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AB4562">
        <w:rPr>
          <w:rFonts w:ascii="Arial" w:hAnsi="Arial" w:cs="Arial"/>
          <w:b/>
          <w:sz w:val="24"/>
          <w:szCs w:val="24"/>
        </w:rPr>
        <w:t>Tabela 1.</w:t>
      </w:r>
      <w:r w:rsidRPr="00AB4562">
        <w:rPr>
          <w:rFonts w:ascii="Arial" w:hAnsi="Arial" w:cs="Arial"/>
          <w:sz w:val="24"/>
          <w:szCs w:val="24"/>
        </w:rPr>
        <w:t xml:space="preserve"> Ramy łączące pedagogiczne podejścia do kompetencji w zakresie zrównoważonego rozwoju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29"/>
        <w:gridCol w:w="1151"/>
        <w:gridCol w:w="1638"/>
        <w:gridCol w:w="878"/>
        <w:gridCol w:w="947"/>
        <w:gridCol w:w="1600"/>
        <w:gridCol w:w="1219"/>
      </w:tblGrid>
      <w:tr w:rsidR="000A28A2" w:rsidRPr="00AB4562" w14:paraId="16789FD0" w14:textId="77777777" w:rsidTr="00076480">
        <w:trPr>
          <w:gridAfter w:val="6"/>
          <w:wAfter w:w="7397" w:type="dxa"/>
          <w:trHeight w:val="414"/>
        </w:trPr>
        <w:tc>
          <w:tcPr>
            <w:tcW w:w="1665" w:type="dxa"/>
            <w:vMerge w:val="restart"/>
          </w:tcPr>
          <w:p w14:paraId="5B7714F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26B86B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K</w:t>
            </w:r>
          </w:p>
          <w:p w14:paraId="721B1B0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O</w:t>
            </w:r>
          </w:p>
          <w:p w14:paraId="14E8B68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M</w:t>
            </w:r>
          </w:p>
          <w:p w14:paraId="3EAE776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P</w:t>
            </w:r>
          </w:p>
          <w:p w14:paraId="4627DD5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E</w:t>
            </w:r>
          </w:p>
          <w:p w14:paraId="02636FE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T</w:t>
            </w:r>
          </w:p>
          <w:p w14:paraId="3BC7EEB1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E</w:t>
            </w:r>
          </w:p>
          <w:p w14:paraId="001CE1FC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N</w:t>
            </w:r>
          </w:p>
          <w:p w14:paraId="6F163751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  <w:p w14:paraId="4255162A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lastRenderedPageBreak/>
              <w:t>J</w:t>
            </w:r>
          </w:p>
          <w:p w14:paraId="5540152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E</w:t>
            </w:r>
          </w:p>
        </w:tc>
      </w:tr>
      <w:tr w:rsidR="000A28A2" w:rsidRPr="00AB4562" w14:paraId="7D34328C" w14:textId="77777777" w:rsidTr="00076480">
        <w:trPr>
          <w:trHeight w:val="383"/>
        </w:trPr>
        <w:tc>
          <w:tcPr>
            <w:tcW w:w="1665" w:type="dxa"/>
            <w:vMerge/>
          </w:tcPr>
          <w:p w14:paraId="2C97A0D7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303" w:type="dxa"/>
            <w:gridSpan w:val="5"/>
          </w:tcPr>
          <w:p w14:paraId="50022D60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Uniwersalne</w:t>
            </w:r>
          </w:p>
        </w:tc>
        <w:tc>
          <w:tcPr>
            <w:tcW w:w="1094" w:type="dxa"/>
          </w:tcPr>
          <w:p w14:paraId="7E938A7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Edukacja ekologiczna</w:t>
            </w:r>
          </w:p>
        </w:tc>
      </w:tr>
      <w:tr w:rsidR="000A28A2" w:rsidRPr="00AB4562" w14:paraId="0C7DE7D3" w14:textId="77777777" w:rsidTr="00076480">
        <w:trPr>
          <w:trHeight w:val="199"/>
        </w:trPr>
        <w:tc>
          <w:tcPr>
            <w:tcW w:w="1665" w:type="dxa"/>
            <w:vMerge/>
          </w:tcPr>
          <w:p w14:paraId="568428F5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43" w:type="dxa"/>
          </w:tcPr>
          <w:p w14:paraId="272421D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Studia przypadków</w:t>
            </w:r>
          </w:p>
        </w:tc>
        <w:tc>
          <w:tcPr>
            <w:tcW w:w="1664" w:type="dxa"/>
          </w:tcPr>
          <w:p w14:paraId="3032D89F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Interdyscyplinarne nauczanie zespołowe</w:t>
            </w:r>
          </w:p>
        </w:tc>
        <w:tc>
          <w:tcPr>
            <w:tcW w:w="876" w:type="dxa"/>
          </w:tcPr>
          <w:p w14:paraId="29AD295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Wykłady</w:t>
            </w:r>
          </w:p>
        </w:tc>
        <w:tc>
          <w:tcPr>
            <w:tcW w:w="951" w:type="dxa"/>
          </w:tcPr>
          <w:p w14:paraId="7318102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Mapy myśli koncepcji</w:t>
            </w:r>
          </w:p>
        </w:tc>
        <w:tc>
          <w:tcPr>
            <w:tcW w:w="1669" w:type="dxa"/>
          </w:tcPr>
          <w:p w14:paraId="7D307351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Uczenie się w oparciu o problemy/projekty</w:t>
            </w:r>
          </w:p>
        </w:tc>
        <w:tc>
          <w:tcPr>
            <w:tcW w:w="1094" w:type="dxa"/>
          </w:tcPr>
          <w:p w14:paraId="46C4F1D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 xml:space="preserve">Edukacja ekologiczna </w:t>
            </w:r>
            <w:proofErr w:type="spellStart"/>
            <w:r w:rsidRPr="00AB4562">
              <w:rPr>
                <w:rFonts w:ascii="Arial" w:hAnsi="Arial" w:cs="Arial"/>
                <w:i/>
                <w:sz w:val="24"/>
                <w:szCs w:val="24"/>
              </w:rPr>
              <w:t>umiejsco-wiona</w:t>
            </w:r>
            <w:proofErr w:type="spellEnd"/>
            <w:r w:rsidRPr="00AB4562">
              <w:rPr>
                <w:rFonts w:ascii="Arial" w:hAnsi="Arial" w:cs="Arial"/>
                <w:i/>
                <w:sz w:val="24"/>
                <w:szCs w:val="24"/>
              </w:rPr>
              <w:t xml:space="preserve"> w </w:t>
            </w:r>
            <w:r w:rsidRPr="00AB4562">
              <w:rPr>
                <w:rFonts w:ascii="Arial" w:hAnsi="Arial" w:cs="Arial"/>
                <w:i/>
                <w:sz w:val="24"/>
                <w:szCs w:val="24"/>
              </w:rPr>
              <w:lastRenderedPageBreak/>
              <w:t>określonym środowisku</w:t>
            </w:r>
          </w:p>
        </w:tc>
      </w:tr>
      <w:tr w:rsidR="000A28A2" w:rsidRPr="00AB4562" w14:paraId="190910BB" w14:textId="77777777" w:rsidTr="00076480">
        <w:trPr>
          <w:trHeight w:val="768"/>
        </w:trPr>
        <w:tc>
          <w:tcPr>
            <w:tcW w:w="1665" w:type="dxa"/>
          </w:tcPr>
          <w:p w14:paraId="553337A8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lastRenderedPageBreak/>
              <w:t>Myślenie systemowe</w:t>
            </w:r>
          </w:p>
        </w:tc>
        <w:tc>
          <w:tcPr>
            <w:tcW w:w="1143" w:type="dxa"/>
          </w:tcPr>
          <w:p w14:paraId="28EB161A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5DBBB6C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876" w:type="dxa"/>
          </w:tcPr>
          <w:p w14:paraId="055F567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951" w:type="dxa"/>
          </w:tcPr>
          <w:p w14:paraId="358413B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9" w:type="dxa"/>
          </w:tcPr>
          <w:p w14:paraId="26F4B46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14B9053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722C8F8E" w14:textId="77777777" w:rsidTr="00076480">
        <w:trPr>
          <w:trHeight w:val="365"/>
        </w:trPr>
        <w:tc>
          <w:tcPr>
            <w:tcW w:w="1665" w:type="dxa"/>
          </w:tcPr>
          <w:p w14:paraId="0BD386F1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Praca interdyscyplinarna</w:t>
            </w:r>
          </w:p>
        </w:tc>
        <w:tc>
          <w:tcPr>
            <w:tcW w:w="1143" w:type="dxa"/>
          </w:tcPr>
          <w:p w14:paraId="4CEC7715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26A14EE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876" w:type="dxa"/>
          </w:tcPr>
          <w:p w14:paraId="155D9BF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51" w:type="dxa"/>
          </w:tcPr>
          <w:p w14:paraId="4334F93E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9" w:type="dxa"/>
          </w:tcPr>
          <w:p w14:paraId="624AA74C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6500FE67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787FA46E" w14:textId="77777777" w:rsidTr="00076480">
        <w:trPr>
          <w:trHeight w:val="365"/>
        </w:trPr>
        <w:tc>
          <w:tcPr>
            <w:tcW w:w="1665" w:type="dxa"/>
          </w:tcPr>
          <w:p w14:paraId="328C282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Myślenie przewidujące</w:t>
            </w:r>
          </w:p>
        </w:tc>
        <w:tc>
          <w:tcPr>
            <w:tcW w:w="1143" w:type="dxa"/>
          </w:tcPr>
          <w:p w14:paraId="45EC6968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1994987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76" w:type="dxa"/>
          </w:tcPr>
          <w:p w14:paraId="74A902D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951" w:type="dxa"/>
          </w:tcPr>
          <w:p w14:paraId="12DEB92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669" w:type="dxa"/>
          </w:tcPr>
          <w:p w14:paraId="0571550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67D8855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0A28A2" w:rsidRPr="00AB4562" w14:paraId="0318A8B2" w14:textId="77777777" w:rsidTr="00076480">
        <w:trPr>
          <w:trHeight w:val="383"/>
        </w:trPr>
        <w:tc>
          <w:tcPr>
            <w:tcW w:w="1665" w:type="dxa"/>
          </w:tcPr>
          <w:p w14:paraId="53D403A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Sprawiedliwość, odpowiedzialność i etyka</w:t>
            </w:r>
          </w:p>
        </w:tc>
        <w:tc>
          <w:tcPr>
            <w:tcW w:w="1143" w:type="dxa"/>
          </w:tcPr>
          <w:p w14:paraId="079CE288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28AB2C1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76" w:type="dxa"/>
          </w:tcPr>
          <w:p w14:paraId="49C80A8F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951" w:type="dxa"/>
          </w:tcPr>
          <w:p w14:paraId="1A49E85E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669" w:type="dxa"/>
          </w:tcPr>
          <w:p w14:paraId="20641E8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3BF3628E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244493F1" w14:textId="77777777" w:rsidTr="00076480">
        <w:trPr>
          <w:trHeight w:val="383"/>
        </w:trPr>
        <w:tc>
          <w:tcPr>
            <w:tcW w:w="1665" w:type="dxa"/>
          </w:tcPr>
          <w:p w14:paraId="640C769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Myślenie krytyczne i analityczne</w:t>
            </w:r>
          </w:p>
        </w:tc>
        <w:tc>
          <w:tcPr>
            <w:tcW w:w="1143" w:type="dxa"/>
          </w:tcPr>
          <w:p w14:paraId="4D2EC5CB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1666D10B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76" w:type="dxa"/>
          </w:tcPr>
          <w:p w14:paraId="016E53B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51" w:type="dxa"/>
          </w:tcPr>
          <w:p w14:paraId="008F2ABE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9" w:type="dxa"/>
          </w:tcPr>
          <w:p w14:paraId="0F676D88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0DE1A35B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6FD483BB" w14:textId="77777777" w:rsidTr="00076480">
        <w:trPr>
          <w:trHeight w:val="365"/>
        </w:trPr>
        <w:tc>
          <w:tcPr>
            <w:tcW w:w="1665" w:type="dxa"/>
          </w:tcPr>
          <w:p w14:paraId="75EC576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Relacje międzyludzkie i współpraca</w:t>
            </w:r>
          </w:p>
        </w:tc>
        <w:tc>
          <w:tcPr>
            <w:tcW w:w="1143" w:type="dxa"/>
          </w:tcPr>
          <w:p w14:paraId="06E1301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07FED0BB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876" w:type="dxa"/>
          </w:tcPr>
          <w:p w14:paraId="559A386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51" w:type="dxa"/>
          </w:tcPr>
          <w:p w14:paraId="1872902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669" w:type="dxa"/>
          </w:tcPr>
          <w:p w14:paraId="7E11D02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0C6A94A0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3F69604B" w14:textId="77777777" w:rsidTr="00076480">
        <w:trPr>
          <w:trHeight w:val="403"/>
        </w:trPr>
        <w:tc>
          <w:tcPr>
            <w:tcW w:w="1665" w:type="dxa"/>
          </w:tcPr>
          <w:p w14:paraId="46CE935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Empatia i spojrzenie z perspektywy innej osoby</w:t>
            </w:r>
          </w:p>
        </w:tc>
        <w:tc>
          <w:tcPr>
            <w:tcW w:w="1143" w:type="dxa"/>
          </w:tcPr>
          <w:p w14:paraId="7DF68A5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762594A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876" w:type="dxa"/>
          </w:tcPr>
          <w:p w14:paraId="1AC59AE0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951" w:type="dxa"/>
          </w:tcPr>
          <w:p w14:paraId="29D337C0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669" w:type="dxa"/>
          </w:tcPr>
          <w:p w14:paraId="270E9951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761C86B9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5E9D1EAA" w14:textId="77777777" w:rsidTr="00076480">
        <w:trPr>
          <w:trHeight w:val="403"/>
        </w:trPr>
        <w:tc>
          <w:tcPr>
            <w:tcW w:w="1665" w:type="dxa"/>
          </w:tcPr>
          <w:p w14:paraId="489FE51A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Komunikacja i wykorzystanie mediów</w:t>
            </w:r>
          </w:p>
        </w:tc>
        <w:tc>
          <w:tcPr>
            <w:tcW w:w="1143" w:type="dxa"/>
          </w:tcPr>
          <w:p w14:paraId="3924F7B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5A3F856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76" w:type="dxa"/>
          </w:tcPr>
          <w:p w14:paraId="51ED0E5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51" w:type="dxa"/>
          </w:tcPr>
          <w:p w14:paraId="0E4CF91A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9" w:type="dxa"/>
          </w:tcPr>
          <w:p w14:paraId="39FD22D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094" w:type="dxa"/>
          </w:tcPr>
          <w:p w14:paraId="3F2DE45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0A28A2" w:rsidRPr="00AB4562" w14:paraId="0ABB055A" w14:textId="77777777" w:rsidTr="00076480">
        <w:trPr>
          <w:trHeight w:val="403"/>
        </w:trPr>
        <w:tc>
          <w:tcPr>
            <w:tcW w:w="1665" w:type="dxa"/>
          </w:tcPr>
          <w:p w14:paraId="4CAE49C8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lastRenderedPageBreak/>
              <w:t>Działanie strategiczne</w:t>
            </w:r>
          </w:p>
        </w:tc>
        <w:tc>
          <w:tcPr>
            <w:tcW w:w="1143" w:type="dxa"/>
          </w:tcPr>
          <w:p w14:paraId="5551585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2CB6136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76" w:type="dxa"/>
          </w:tcPr>
          <w:p w14:paraId="60128F6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951" w:type="dxa"/>
          </w:tcPr>
          <w:p w14:paraId="43139B50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669" w:type="dxa"/>
          </w:tcPr>
          <w:p w14:paraId="623A1770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69A2198C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5B2F6B49" w14:textId="77777777" w:rsidTr="00076480">
        <w:trPr>
          <w:trHeight w:val="403"/>
        </w:trPr>
        <w:tc>
          <w:tcPr>
            <w:tcW w:w="1665" w:type="dxa"/>
          </w:tcPr>
          <w:p w14:paraId="43C8F9FA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Osobiste zaangażowanie</w:t>
            </w:r>
          </w:p>
        </w:tc>
        <w:tc>
          <w:tcPr>
            <w:tcW w:w="1143" w:type="dxa"/>
          </w:tcPr>
          <w:p w14:paraId="102AD31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664" w:type="dxa"/>
          </w:tcPr>
          <w:p w14:paraId="55F03EEB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76" w:type="dxa"/>
          </w:tcPr>
          <w:p w14:paraId="7CAA8DFE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51" w:type="dxa"/>
          </w:tcPr>
          <w:p w14:paraId="3616343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9" w:type="dxa"/>
          </w:tcPr>
          <w:p w14:paraId="0CDD43C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1F7EB69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750BB19F" w14:textId="77777777" w:rsidTr="00076480">
        <w:trPr>
          <w:trHeight w:val="403"/>
        </w:trPr>
        <w:tc>
          <w:tcPr>
            <w:tcW w:w="1665" w:type="dxa"/>
          </w:tcPr>
          <w:p w14:paraId="4533C4B5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Ocena i ewaluacja</w:t>
            </w:r>
          </w:p>
        </w:tc>
        <w:tc>
          <w:tcPr>
            <w:tcW w:w="1143" w:type="dxa"/>
          </w:tcPr>
          <w:p w14:paraId="6E0E30E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31766C3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876" w:type="dxa"/>
          </w:tcPr>
          <w:p w14:paraId="2721C48F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951" w:type="dxa"/>
          </w:tcPr>
          <w:p w14:paraId="557E683B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9" w:type="dxa"/>
          </w:tcPr>
          <w:p w14:paraId="6D7187CE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3773EB0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  <w:tr w:rsidR="000A28A2" w:rsidRPr="00AB4562" w14:paraId="2CEE6E0D" w14:textId="77777777" w:rsidTr="00076480">
        <w:trPr>
          <w:trHeight w:val="403"/>
        </w:trPr>
        <w:tc>
          <w:tcPr>
            <w:tcW w:w="1665" w:type="dxa"/>
          </w:tcPr>
          <w:p w14:paraId="5CAA114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Odporność na sytuacje niepewności</w:t>
            </w:r>
          </w:p>
        </w:tc>
        <w:tc>
          <w:tcPr>
            <w:tcW w:w="1143" w:type="dxa"/>
          </w:tcPr>
          <w:p w14:paraId="0366B096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15911667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876" w:type="dxa"/>
          </w:tcPr>
          <w:p w14:paraId="7A1531D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51" w:type="dxa"/>
          </w:tcPr>
          <w:p w14:paraId="1A2565A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669" w:type="dxa"/>
          </w:tcPr>
          <w:p w14:paraId="27B8ECF7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7C6795E5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0A28A2" w:rsidRPr="00AB4562" w14:paraId="2D4761F7" w14:textId="77777777" w:rsidTr="00076480">
        <w:trPr>
          <w:trHeight w:val="403"/>
        </w:trPr>
        <w:tc>
          <w:tcPr>
            <w:tcW w:w="1665" w:type="dxa"/>
          </w:tcPr>
          <w:p w14:paraId="5200A5F0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i/>
                <w:sz w:val="24"/>
                <w:szCs w:val="24"/>
              </w:rPr>
            </w:pPr>
            <w:r w:rsidRPr="00AB4562">
              <w:rPr>
                <w:rFonts w:ascii="Arial" w:hAnsi="Arial" w:cs="Arial"/>
                <w:i/>
                <w:sz w:val="24"/>
                <w:szCs w:val="24"/>
              </w:rPr>
              <w:t>Łączna ocena punktowa</w:t>
            </w:r>
          </w:p>
        </w:tc>
        <w:tc>
          <w:tcPr>
            <w:tcW w:w="1143" w:type="dxa"/>
          </w:tcPr>
          <w:p w14:paraId="7DEAD162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14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4" w:type="dxa"/>
          </w:tcPr>
          <w:p w14:paraId="346F9DB4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6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876" w:type="dxa"/>
          </w:tcPr>
          <w:p w14:paraId="3901DB08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6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951" w:type="dxa"/>
          </w:tcPr>
          <w:p w14:paraId="173C972D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7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669" w:type="dxa"/>
          </w:tcPr>
          <w:p w14:paraId="0A8067F3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14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  <w:tc>
          <w:tcPr>
            <w:tcW w:w="1094" w:type="dxa"/>
          </w:tcPr>
          <w:p w14:paraId="7B209D81" w14:textId="77777777" w:rsidR="000A28A2" w:rsidRPr="00AB4562" w:rsidRDefault="000A28A2" w:rsidP="00AB456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AB4562">
              <w:rPr>
                <w:rFonts w:ascii="Arial" w:hAnsi="Arial" w:cs="Arial"/>
                <w:b/>
                <w:sz w:val="24"/>
                <w:szCs w:val="24"/>
              </w:rPr>
              <w:t>12</w:t>
            </w:r>
            <w:r w:rsidRPr="00AB4562">
              <w:rPr>
                <w:rFonts w:ascii="Arial" w:hAnsi="Arial" w:cs="Arial"/>
                <w:b/>
                <w:sz w:val="24"/>
                <w:szCs w:val="24"/>
              </w:rPr>
              <w:sym w:font="Wingdings" w:char="F04A"/>
            </w:r>
          </w:p>
        </w:tc>
      </w:tr>
    </w:tbl>
    <w:p w14:paraId="2685FD33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  <w:r w:rsidRPr="00AB4562">
        <w:rPr>
          <w:rFonts w:ascii="Arial" w:hAnsi="Arial" w:cs="Arial"/>
          <w:b/>
          <w:sz w:val="24"/>
          <w:szCs w:val="24"/>
        </w:rPr>
        <w:sym w:font="Wingdings" w:char="F04A"/>
      </w:r>
      <w:r w:rsidRPr="00AB4562">
        <w:rPr>
          <w:rFonts w:ascii="Arial" w:hAnsi="Arial" w:cs="Arial"/>
          <w:b/>
          <w:sz w:val="24"/>
          <w:szCs w:val="24"/>
        </w:rPr>
        <w:t xml:space="preserve"> </w:t>
      </w:r>
      <w:r w:rsidRPr="00AB4562">
        <w:rPr>
          <w:rFonts w:ascii="Arial" w:hAnsi="Arial" w:cs="Arial"/>
          <w:b/>
          <w:sz w:val="24"/>
          <w:szCs w:val="24"/>
        </w:rPr>
        <w:sym w:font="Wingdings" w:char="F04A"/>
      </w:r>
      <w:r w:rsidRPr="00AB4562">
        <w:rPr>
          <w:rFonts w:ascii="Arial" w:hAnsi="Arial" w:cs="Arial"/>
          <w:b/>
          <w:sz w:val="24"/>
          <w:szCs w:val="24"/>
        </w:rPr>
        <w:t>)</w:t>
      </w:r>
      <w:r w:rsidRPr="00AB4562">
        <w:rPr>
          <w:rFonts w:ascii="Arial" w:hAnsi="Arial" w:cs="Arial"/>
          <w:sz w:val="24"/>
          <w:szCs w:val="24"/>
        </w:rPr>
        <w:t xml:space="preserve"> podejście pedagogiczne, które zazwyczaj przyczynia się do rozwoju określonych kompetencji</w:t>
      </w:r>
    </w:p>
    <w:p w14:paraId="7D4F5767" w14:textId="77777777" w:rsidR="000A28A2" w:rsidRPr="00AB4562" w:rsidRDefault="000A28A2" w:rsidP="00AB4562">
      <w:pPr>
        <w:spacing w:after="0" w:line="360" w:lineRule="auto"/>
        <w:ind w:firstLine="348"/>
        <w:rPr>
          <w:rFonts w:ascii="Arial" w:hAnsi="Arial" w:cs="Arial"/>
          <w:sz w:val="24"/>
          <w:szCs w:val="24"/>
        </w:rPr>
      </w:pPr>
      <w:r w:rsidRPr="00AB4562">
        <w:rPr>
          <w:rFonts w:ascii="Arial" w:hAnsi="Arial" w:cs="Arial"/>
          <w:b/>
          <w:sz w:val="24"/>
          <w:szCs w:val="24"/>
        </w:rPr>
        <w:sym w:font="Wingdings" w:char="F04A"/>
      </w:r>
      <w:proofErr w:type="gramStart"/>
      <w:r w:rsidRPr="00AB4562">
        <w:rPr>
          <w:rFonts w:ascii="Arial" w:hAnsi="Arial" w:cs="Arial"/>
          <w:b/>
          <w:sz w:val="24"/>
          <w:szCs w:val="24"/>
        </w:rPr>
        <w:t>)</w:t>
      </w:r>
      <w:r w:rsidRPr="00AB4562">
        <w:rPr>
          <w:rFonts w:ascii="Arial" w:hAnsi="Arial" w:cs="Arial"/>
          <w:sz w:val="24"/>
          <w:szCs w:val="24"/>
        </w:rPr>
        <w:t xml:space="preserve">   </w:t>
      </w:r>
      <w:proofErr w:type="gramEnd"/>
      <w:r w:rsidRPr="00AB4562">
        <w:rPr>
          <w:rFonts w:ascii="Arial" w:hAnsi="Arial" w:cs="Arial"/>
          <w:sz w:val="24"/>
          <w:szCs w:val="24"/>
        </w:rPr>
        <w:t xml:space="preserve">  podejście pedagogiczne, które raczej może przyczynić się do rozwoju kompetencji.</w:t>
      </w:r>
    </w:p>
    <w:p w14:paraId="67D90E5D" w14:textId="77777777" w:rsidR="000A28A2" w:rsidRPr="00AB4562" w:rsidRDefault="000A28A2" w:rsidP="00AB4562">
      <w:pPr>
        <w:tabs>
          <w:tab w:val="center" w:pos="4173"/>
          <w:tab w:val="right" w:pos="8346"/>
        </w:tabs>
        <w:spacing w:after="0" w:line="360" w:lineRule="auto"/>
        <w:ind w:right="680"/>
        <w:rPr>
          <w:rFonts w:ascii="Arial" w:hAnsi="Arial" w:cs="Arial"/>
          <w:b/>
          <w:sz w:val="24"/>
          <w:szCs w:val="24"/>
        </w:rPr>
      </w:pPr>
    </w:p>
    <w:p w14:paraId="0D09010C" w14:textId="77777777" w:rsidR="000A28A2" w:rsidRPr="00AB4562" w:rsidRDefault="000A28A2" w:rsidP="00AB4562">
      <w:pPr>
        <w:tabs>
          <w:tab w:val="center" w:pos="4173"/>
          <w:tab w:val="right" w:pos="8346"/>
        </w:tabs>
        <w:spacing w:after="0" w:line="360" w:lineRule="auto"/>
        <w:ind w:right="680"/>
        <w:rPr>
          <w:rFonts w:ascii="Arial" w:eastAsia="Times New Roman" w:hAnsi="Arial" w:cs="Arial"/>
          <w:b/>
          <w:color w:val="1F497D"/>
          <w:sz w:val="24"/>
          <w:szCs w:val="24"/>
        </w:rPr>
      </w:pPr>
      <w:r w:rsidRPr="00AB4562">
        <w:rPr>
          <w:rFonts w:ascii="Arial" w:hAnsi="Arial" w:cs="Arial"/>
          <w:b/>
          <w:sz w:val="24"/>
          <w:szCs w:val="24"/>
        </w:rPr>
        <w:t>Źródło</w:t>
      </w:r>
      <w:r w:rsidRPr="00AB4562">
        <w:rPr>
          <w:rFonts w:ascii="Arial" w:hAnsi="Arial" w:cs="Arial"/>
          <w:sz w:val="24"/>
          <w:szCs w:val="24"/>
        </w:rPr>
        <w:t xml:space="preserve">: A. </w:t>
      </w:r>
      <w:proofErr w:type="spellStart"/>
      <w:r w:rsidRPr="00AB4562">
        <w:rPr>
          <w:rFonts w:ascii="Arial" w:hAnsi="Arial" w:cs="Arial"/>
          <w:sz w:val="24"/>
          <w:szCs w:val="24"/>
        </w:rPr>
        <w:t>Stępnikowski</w:t>
      </w:r>
      <w:proofErr w:type="spellEnd"/>
      <w:r w:rsidRPr="00AB4562">
        <w:rPr>
          <w:rFonts w:ascii="Arial" w:hAnsi="Arial" w:cs="Arial"/>
          <w:sz w:val="24"/>
          <w:szCs w:val="24"/>
        </w:rPr>
        <w:t xml:space="preserve">, </w:t>
      </w:r>
      <w:r w:rsidRPr="00AB4562">
        <w:rPr>
          <w:rFonts w:ascii="Arial" w:eastAsia="Times New Roman" w:hAnsi="Arial" w:cs="Arial"/>
          <w:bCs/>
          <w:i/>
          <w:iCs/>
          <w:sz w:val="24"/>
          <w:szCs w:val="24"/>
        </w:rPr>
        <w:t>Podręcznik metodyki szkoleń dla trenerów w zakresie zrównoważonego rozwoju,</w:t>
      </w:r>
      <w:r w:rsidRPr="00AB4562">
        <w:rPr>
          <w:rFonts w:ascii="Arial" w:eastAsia="Times New Roman" w:hAnsi="Arial" w:cs="Arial"/>
          <w:b/>
          <w:sz w:val="24"/>
          <w:szCs w:val="24"/>
        </w:rPr>
        <w:t xml:space="preserve"> </w:t>
      </w:r>
      <w:r w:rsidRPr="00AB4562">
        <w:rPr>
          <w:rFonts w:ascii="Arial" w:eastAsia="Times New Roman" w:hAnsi="Arial" w:cs="Arial"/>
          <w:sz w:val="24"/>
          <w:szCs w:val="24"/>
        </w:rPr>
        <w:t>OECD – Program Wzmacniania Potencjału, Warszawa-Paryż 2022.</w:t>
      </w:r>
    </w:p>
    <w:p w14:paraId="2D79D51E" w14:textId="77777777" w:rsidR="000A28A2" w:rsidRPr="00AB4562" w:rsidRDefault="000A28A2" w:rsidP="00AB4562">
      <w:pPr>
        <w:spacing w:after="0" w:line="360" w:lineRule="auto"/>
        <w:rPr>
          <w:rFonts w:ascii="Arial" w:hAnsi="Arial" w:cs="Arial"/>
          <w:color w:val="0070C0"/>
          <w:sz w:val="24"/>
          <w:szCs w:val="24"/>
        </w:rPr>
      </w:pPr>
    </w:p>
    <w:p w14:paraId="6EDC0402" w14:textId="666FEA7E" w:rsidR="00BC3A65" w:rsidRPr="00AB4562" w:rsidRDefault="00BC3A65" w:rsidP="00AB4562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AB4562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420932" w14:textId="77777777" w:rsidR="0041227E" w:rsidRDefault="0041227E" w:rsidP="003C513B">
      <w:pPr>
        <w:spacing w:after="0" w:line="240" w:lineRule="auto"/>
      </w:pPr>
      <w:r>
        <w:separator/>
      </w:r>
    </w:p>
  </w:endnote>
  <w:endnote w:type="continuationSeparator" w:id="0">
    <w:p w14:paraId="3A9A4584" w14:textId="77777777" w:rsidR="0041227E" w:rsidRDefault="0041227E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8EDB5" w14:textId="77777777" w:rsidR="0041227E" w:rsidRDefault="0041227E" w:rsidP="003C513B">
      <w:pPr>
        <w:spacing w:after="0" w:line="240" w:lineRule="auto"/>
      </w:pPr>
      <w:r>
        <w:separator/>
      </w:r>
    </w:p>
  </w:footnote>
  <w:footnote w:type="continuationSeparator" w:id="0">
    <w:p w14:paraId="5BF5D849" w14:textId="77777777" w:rsidR="0041227E" w:rsidRDefault="0041227E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13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2"/>
  </w:num>
  <w:num w:numId="2" w16cid:durableId="696547362">
    <w:abstractNumId w:val="15"/>
  </w:num>
  <w:num w:numId="3" w16cid:durableId="1869222873">
    <w:abstractNumId w:val="21"/>
  </w:num>
  <w:num w:numId="4" w16cid:durableId="765223711">
    <w:abstractNumId w:val="16"/>
  </w:num>
  <w:num w:numId="5" w16cid:durableId="1859393560">
    <w:abstractNumId w:val="18"/>
  </w:num>
  <w:num w:numId="6" w16cid:durableId="12462334">
    <w:abstractNumId w:val="5"/>
  </w:num>
  <w:num w:numId="7" w16cid:durableId="1699433921">
    <w:abstractNumId w:val="17"/>
  </w:num>
  <w:num w:numId="8" w16cid:durableId="579145953">
    <w:abstractNumId w:val="10"/>
  </w:num>
  <w:num w:numId="9" w16cid:durableId="457845199">
    <w:abstractNumId w:val="0"/>
  </w:num>
  <w:num w:numId="10" w16cid:durableId="614871375">
    <w:abstractNumId w:val="22"/>
  </w:num>
  <w:num w:numId="11" w16cid:durableId="1477379881">
    <w:abstractNumId w:val="4"/>
  </w:num>
  <w:num w:numId="12" w16cid:durableId="806119431">
    <w:abstractNumId w:val="13"/>
  </w:num>
  <w:num w:numId="13" w16cid:durableId="577253963">
    <w:abstractNumId w:val="14"/>
  </w:num>
  <w:num w:numId="14" w16cid:durableId="42218609">
    <w:abstractNumId w:val="11"/>
  </w:num>
  <w:num w:numId="15" w16cid:durableId="220100898">
    <w:abstractNumId w:val="20"/>
  </w:num>
  <w:num w:numId="16" w16cid:durableId="1293637815">
    <w:abstractNumId w:val="6"/>
  </w:num>
  <w:num w:numId="17" w16cid:durableId="461732615">
    <w:abstractNumId w:val="1"/>
  </w:num>
  <w:num w:numId="18" w16cid:durableId="311907466">
    <w:abstractNumId w:val="8"/>
  </w:num>
  <w:num w:numId="19" w16cid:durableId="1636064392">
    <w:abstractNumId w:val="23"/>
  </w:num>
  <w:num w:numId="20" w16cid:durableId="982734635">
    <w:abstractNumId w:val="9"/>
  </w:num>
  <w:num w:numId="21" w16cid:durableId="814877182">
    <w:abstractNumId w:val="7"/>
  </w:num>
  <w:num w:numId="22" w16cid:durableId="1296837055">
    <w:abstractNumId w:val="3"/>
  </w:num>
  <w:num w:numId="23" w16cid:durableId="17434870">
    <w:abstractNumId w:val="19"/>
  </w:num>
  <w:num w:numId="24" w16cid:durableId="163167128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57197"/>
    <w:rsid w:val="000604B3"/>
    <w:rsid w:val="000813C3"/>
    <w:rsid w:val="000817FF"/>
    <w:rsid w:val="000A28A2"/>
    <w:rsid w:val="000A7934"/>
    <w:rsid w:val="000E2620"/>
    <w:rsid w:val="000F4038"/>
    <w:rsid w:val="000F4DCC"/>
    <w:rsid w:val="00110C56"/>
    <w:rsid w:val="001C7283"/>
    <w:rsid w:val="002C2DDA"/>
    <w:rsid w:val="002C7986"/>
    <w:rsid w:val="002E7A96"/>
    <w:rsid w:val="00335A75"/>
    <w:rsid w:val="003541D2"/>
    <w:rsid w:val="00380DC2"/>
    <w:rsid w:val="00395D4F"/>
    <w:rsid w:val="003C513B"/>
    <w:rsid w:val="003D77C6"/>
    <w:rsid w:val="004071BA"/>
    <w:rsid w:val="0041227E"/>
    <w:rsid w:val="004561EB"/>
    <w:rsid w:val="0052608F"/>
    <w:rsid w:val="00537297"/>
    <w:rsid w:val="005D1F59"/>
    <w:rsid w:val="0065370D"/>
    <w:rsid w:val="00682EA8"/>
    <w:rsid w:val="00701A65"/>
    <w:rsid w:val="0072221C"/>
    <w:rsid w:val="00742AF8"/>
    <w:rsid w:val="007B3034"/>
    <w:rsid w:val="007C6FC4"/>
    <w:rsid w:val="0086458A"/>
    <w:rsid w:val="008E4DF2"/>
    <w:rsid w:val="008F448A"/>
    <w:rsid w:val="009647AF"/>
    <w:rsid w:val="00975F04"/>
    <w:rsid w:val="009953D6"/>
    <w:rsid w:val="00A522DA"/>
    <w:rsid w:val="00A73202"/>
    <w:rsid w:val="00AB4562"/>
    <w:rsid w:val="00AD6FD9"/>
    <w:rsid w:val="00B45507"/>
    <w:rsid w:val="00B73705"/>
    <w:rsid w:val="00BC3A65"/>
    <w:rsid w:val="00BF196C"/>
    <w:rsid w:val="00C05B1A"/>
    <w:rsid w:val="00C10415"/>
    <w:rsid w:val="00D6339D"/>
    <w:rsid w:val="00DD3FE2"/>
    <w:rsid w:val="00E01A8E"/>
    <w:rsid w:val="00E027B1"/>
    <w:rsid w:val="00E147BD"/>
    <w:rsid w:val="00E163D8"/>
    <w:rsid w:val="00EB054A"/>
    <w:rsid w:val="00EF4C88"/>
    <w:rsid w:val="00EF5A6D"/>
    <w:rsid w:val="00F248D1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publications.jrc.ec.europa.eu/repository/handle/JRC128040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F9EAF92-D82E-44B4-8C08-75455280F39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84F519-BB3C-4DAB-8739-68185BE34C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931</Words>
  <Characters>5590</Characters>
  <Application>Microsoft Office Word</Application>
  <DocSecurity>0</DocSecurity>
  <Lines>46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2023-03-01T22:13:00Z</dcterms:created>
  <dcterms:modified xsi:type="dcterms:W3CDTF">2023-03-01T22:46:00Z</dcterms:modified>
</cp:coreProperties>
</file>