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Transformační vzdělávání - návrhy na změny v přístupu k odborné přípravě mladých lidí</w:t>
      </w:r>
    </w:p>
    <w:p w:rsidR="00000000" w:rsidDel="00000000" w:rsidP="00000000" w:rsidRDefault="00000000" w:rsidRPr="00000000" w14:paraId="00000002">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Dr. Andrzej Wojciech Stępnikowski</w:t>
      </w:r>
    </w:p>
    <w:p w:rsidR="00000000" w:rsidDel="00000000" w:rsidP="00000000" w:rsidRDefault="00000000" w:rsidRPr="00000000" w14:paraId="00000003">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Úvod</w:t>
      </w:r>
    </w:p>
    <w:p w:rsidR="00000000" w:rsidDel="00000000" w:rsidP="00000000" w:rsidRDefault="00000000" w:rsidRPr="00000000" w14:paraId="0000000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Technologické a organizační změny si vynucují změny v pracovních kontextech (Szlosek F. 2018), dalším tzv. znamením doby se stávají environmentální výzvy formulované v podobě předpokladů Zelené dohody pro Evropu. Mezigenerační přenos kompetencí probíhající v sociální skupině odborníků (z řemeslné a průmyslové sféry) je nevyhnutelný, a to i z hlediska cílů budoucích generací. Tento přenos je uskutečňován zejména na pracovišti (Dewey J. 1916) a prostřednictvím transformačního učení (Bianchi G. 2020) a spočívá nejen v přenosu tvrdých či měkkých dovedností, ale "celé sociální osobnosti" (Znaniecki F. [in]: Woloszyn S. 1998, str. 666) budoucího profesionála. V kontextu odborného vzdělávání v duchu udržitelného rozvoje spočívá tento proces v osvojování znalostí, dovedností postojů a hodnot. Očekává se, že se na realizaci cílů Agendy 2030 budou podílet instruktoři praktického odborného vzdělávání a učitelé odborných předmětů, neboť veřejné odborné školy podléhají územním samosprávným celkům (jsou jejich řídícími orgány) a výsledky studií OECD potvrzují, že úspěšnost implementace principů udržitelného rozvoje do značné míry závisí na regionech (OECD 2021, Diagnostická zpráva-Polsko, str. 32). Pokud tedy chceme reálně a efektivně implementovat principy cílů udržitelného rozvoje, musíme do této vize rozvoje zapojit jak současné, tak budoucí učitele a instruktory, protože tento proces bude dlouhodobý a neskončí s jednou generací. Tento proces by se měl v co největší míře rozšířit také na neveřejné a neformální vzdělávání a zejména na pracoviště.</w:t>
      </w:r>
    </w:p>
    <w:p w:rsidR="00000000" w:rsidDel="00000000" w:rsidP="00000000" w:rsidRDefault="00000000" w:rsidRPr="00000000" w14:paraId="00000006">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Cíle odborného vzdělávání</w:t>
      </w:r>
    </w:p>
    <w:p w:rsidR="00000000" w:rsidDel="00000000" w:rsidP="00000000" w:rsidRDefault="00000000" w:rsidRPr="00000000" w14:paraId="00000008">
      <w:pPr>
        <w:spacing w:after="0" w:line="360" w:lineRule="auto"/>
        <w:jc w:val="both"/>
        <w:rPr>
          <w:rFonts w:ascii="Times New Roman" w:cs="Times New Roman" w:eastAsia="Times New Roman" w:hAnsi="Times New Roman"/>
          <w:color w:val="1b1b1b"/>
          <w:sz w:val="24"/>
          <w:szCs w:val="24"/>
          <w:highlight w:val="white"/>
        </w:rPr>
      </w:pPr>
      <w:r w:rsidDel="00000000" w:rsidR="00000000" w:rsidRPr="00000000">
        <w:rPr>
          <w:rFonts w:ascii="Times New Roman" w:cs="Times New Roman" w:eastAsia="Times New Roman" w:hAnsi="Times New Roman"/>
          <w:color w:val="1b1b1b"/>
          <w:sz w:val="24"/>
          <w:szCs w:val="24"/>
          <w:highlight w:val="white"/>
          <w:rtl w:val="0"/>
        </w:rPr>
        <w:t xml:space="preserve">Již od mateřské školy se děti učí o ochraně životního prostředí. Ve škole se žáci v různých vzdělávacích hodinách učí o změně klimatu, ochraně životního prostředí, šetření zdrojů, tj. energie, vody, přírodních zdrojů, třídění a opětovném využívání odpadu. Ministerstvo školství zdůraznilo důležitost tématu environmentální výchovy a zavedlo ustanovení, které od 1. září 2020 ukládá učitelům povinnost probírat s žáky v hodinách s pedagogy nejdůležitější témata ochrany životního prostředí a klimatu. Environmentální výchova je tedy uznávána jako výzva, ale zdá se, že ani věnování hodin výchovy takto důležitému tématu zdaleka nestačí, protože v případě odborného vzdělávání zasahuje environmentální problematika daleko do materie profese, vstupuje do oblasti nauky o materiálech, technologie a kalkulace služeb, výrobků, a tedy hlouběji do ekonomiky podniků. Pro efektivní výchovu nestačí vložit ustanovení do rámcového vzdělávacího programu nebo vyhlášky o tématech vyučovacích hodin, ale je nutné takové postoje formovat v praxi, nejlépe osobním příkladem mistrů a učitelů. V těchto kontextech učení a vyučování je také vhodné experimentovat, k čemuž mimo jiné vybízí transformační vzdělávání.</w:t>
      </w:r>
    </w:p>
    <w:p w:rsidR="00000000" w:rsidDel="00000000" w:rsidP="00000000" w:rsidRDefault="00000000" w:rsidRPr="00000000" w14:paraId="00000009">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Hlavní funkcí vzdělávání je něco změnit, protože jde o formování ochoty a schopnosti dělat něco, co chceme nebo potřebujeme dělat. Jde o to být kompetentní, což znamená mít správné kompetence (související se znalostmi a dovednostmi, které kompetence umožňují). Existuje několik známých taxonomií pro hodnocení výsledků učení, například taxonomie B. Blooma nebo B. Niemierka, které zde mohou být užitečné.</w:t>
      </w:r>
    </w:p>
    <w:p w:rsidR="00000000" w:rsidDel="00000000" w:rsidP="00000000" w:rsidRDefault="00000000" w:rsidRPr="00000000" w14:paraId="0000000B">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třeba připomenout, že v současné době je učení založené na kompetencích velmi populární zejména proto, že kompetence se vyznačují: komplexností (zahrnují různé prvky, jako jsou znalosti, motivace, postoje), operativností, variabilitou a měřitelností. Kompetence se mohou měnit, mohou být odstupňovány pomocí úrovní způsobilosti a mohou být rozvíjeny. V současné době jsou základem řízení lidských zdrojů kompetenční modely nebo profily, které jsou vytvářeny jako soubor všech kompetencí potřebných pro zaměstnance organizace, seskupených z hlediska příslušných profilů pro konkrétní pozice nebo role (například: učitelé a instruktoři praktického výcviku).</w:t>
      </w:r>
    </w:p>
    <w:p w:rsidR="00000000" w:rsidDel="00000000" w:rsidP="00000000" w:rsidRDefault="00000000" w:rsidRPr="00000000" w14:paraId="0000000D">
      <w:pPr>
        <w:spacing w:after="0" w:line="360" w:lineRule="auto"/>
        <w:ind w:firstLine="34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Transformační vzdělávání</w:t>
      </w:r>
    </w:p>
    <w:p w:rsidR="00000000" w:rsidDel="00000000" w:rsidP="00000000" w:rsidRDefault="00000000" w:rsidRPr="00000000" w14:paraId="0000000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Vzdělávací metody se z velké části týkají předávání obsahu programu a příslušných výukových materiálů účastníkům. Nutnost využívat nejen tradiční, ale i aktivní metody vyplývá ze vzdělávacích cílů rámcového vzdělávacího programu odborného vzdělávání (popsaných formou výsledků učení). Metody vzdělávání studentů, mladých pracovníků a budoucích učitelů a instruktorů by měly být v budoucnu voleny s ohledem na předpoklady transformačního učení, preferované formy při získávání kompetencí pro udržitelný rozvoj. Budoucí učitelé a instruktoři zapojení do praktického odborného vzdělávání (jen v řemeslných dílnách jich je více než 25 000) by měli být schopni řešit různé problémy, projevovat aktivní přístup a iniciativu, rozhodnost a komunikační dovednosti. Účinnost různých metod odborné přípravy je různá (tabulka 1), což je třeba zohlednit při tvorbě programu jejich odborné přípravy (včetně 48hodinového pedagogického kurzu pro instruktory praktického vyučování), školicích materiálů a promýšlení organizace procesu. Při této příležitosti stojí za to se vrátit k Daleově kuželu zkušeností, který ukazuje, že jak méně účinné a pasivní metody, jako jsou přednáška (5 %), čtení (10 %), demonstrace (30 %), tak účinnější metody, jako jsou práce v malých skupinách (50 %), experimentální práce a učení se praxí (75 %), případové studie, metody společných projektů a výuka/školení ostatních, mohou přinést účinnost (měřeno udržením učiva) až 90 %. Nejúčinnější jsou metody, které poskytují příležitosti k zapamatování a upevnění znalostí, dovedností a kompetencí, a tím zabraňují zapomínání.</w:t>
      </w:r>
    </w:p>
    <w:p w:rsidR="00000000" w:rsidDel="00000000" w:rsidP="00000000" w:rsidRDefault="00000000" w:rsidRPr="00000000" w14:paraId="00000010">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sz w:val="24"/>
          <w:szCs w:val="24"/>
          <w:rtl w:val="0"/>
        </w:rPr>
        <w:t xml:space="preserve">Už víme, proč se objevily předpoklady transformačního vzdělávání, otázkou je, kdo a kdy "s takovou myšlenkou přišel"... no, základy teorie transformačního vzdělávání byly zavedeny profesorem Jackem Mezirowem z Oklahomské univerzity již v roce 2009. Na základě analýzy a pozorování dospěl k závěru, že hlavním cílem vzdělávání je změna postojů prostřednictvím kritického myšlení, navazování nových vztahů a jednání s novými perspektivami. Tento přístup ke vzdělávání považuje za vysoce účinný pro udržitelnost, jelikož umožňuje "stát se kriticky sebevědomým tichým prožíváním a vyhodnocováním možností interpretace světa... prostřednictvím reflexe a kladení otázek". V důsledku takovéto hloubkové a mnohostranné reflexe v nás totiž dochází k určité vnitřní "proměně", jejíž důsledky se pak projevují v našich postojích a chování.</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0A4809"/>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Hypertextovodkaz">
    <w:name w:val="Hyperlink"/>
    <w:uiPriority w:val="99"/>
    <w:unhideWhenUsed w:val="1"/>
    <w:rsid w:val="000A4809"/>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3/fQ534UnJsjWYk49Zw4x7GOQw==">CgMxLjA4AHIhMXYwQUVlejBZci16VU1SNDF2MmJTWjJVYVVtc1EySzZC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2023-02-07T13:32:00Z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2fd5816df92b2552cb9330446b85aad22fd89751d22b4d0599f7544f8ab497c3</vt:lpwstr>
  </property>
</Properties>
</file>