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line="36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  <w:u w:val="singl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u w:val="single"/>
          <w:rtl w:val="0"/>
        </w:rPr>
        <w:t xml:space="preserve">Česká iniciativa e-mobility</w:t>
      </w:r>
    </w:p>
    <w:p w:rsidR="00000000" w:rsidDel="00000000" w:rsidP="00000000" w:rsidRDefault="00000000" w:rsidRPr="00000000" w14:paraId="00000002">
      <w:pPr>
        <w:spacing w:line="36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Poptávka po elektromobilitě neboli e-mobilitě celosvětově roste. Zatímco střední Evropa se pomalu dostává na palubu, Česká republika měla plán přechodu na elektromobily a od roku 2009 jej plní. Spolehlivá síť dobíjecích stanic pro elektromobily byla připravována s cílem mít jedny z nejčistších ovzduší a nejtišších frekventovaných silnic v Evropě. Spousta zemí v Evropě je před Českou republikou, takže máme co dohánět, ale pracuje se na tom.</w:t>
      </w:r>
    </w:p>
    <w:p w:rsidR="00000000" w:rsidDel="00000000" w:rsidP="00000000" w:rsidRDefault="00000000" w:rsidRPr="00000000" w14:paraId="00000003">
      <w:pPr>
        <w:spacing w:line="36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Obavy veřejnosti z elektromobilů, počínaje vysokou pořizovací cenou, výdrží baterií a dojezdem vozidla, jsou jedním z hlavních důvodů, proč Česká republika zaostává za zbytkem Evropy. V roce 2021 připadalo na elektromobily přibližně 1,29 % registrací nových vozů, zatímco v Německu to bylo 13,7 %.</w:t>
      </w:r>
    </w:p>
    <w:p w:rsidR="00000000" w:rsidDel="00000000" w:rsidP="00000000" w:rsidRDefault="00000000" w:rsidRPr="00000000" w14:paraId="00000004">
      <w:pPr>
        <w:spacing w:line="36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V únoru loňského roku schválilo město Praha plán na instalaci více než 750 dobíjecích stanic pro elektromobily během následujících 4 let s tím, že do 5 let bude dobíjecích stanic několik tisíc.  Schválená legislativa nesla název Generel rozvoje dobíjecí infrastruktury na území hlavního města Prahy do roku 2030.  Česká republika má v oblasti e-mobility a dobíjecích stanic v rámci EU co dohánět, takže se jedná o velmi potřebný krok. Města se srovnatelným počtem obyvatel, jako je Vídeň, Hamburk, Rotterdam atd. jsou již v rozvoji a přechodu na elektromobilitu daleko vpředu.</w:t>
      </w:r>
    </w:p>
    <w:p w:rsidR="00000000" w:rsidDel="00000000" w:rsidP="00000000" w:rsidRDefault="00000000" w:rsidRPr="00000000" w14:paraId="00000005">
      <w:pPr>
        <w:spacing w:line="36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0" distT="0" distL="0" distR="0">
            <wp:extent cx="5721283" cy="3218221"/>
            <wp:effectExtent b="0" l="0" r="0" t="0"/>
            <wp:docPr id="3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21283" cy="321822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line="36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Jednou z hlavních hnacích sil? Zlepšení kvality ovzduší v České republice. Sektor dopravy je nejrychleji rostoucím odvětvím, které vypouští skleníkové plyny (GHG), a očekává se, že v budoucnu dosáhne podílu více než 30 % na celkových emisích skleníkových plynů. Je také hlavním emitentem látek znečišťujících klima s krátkou životností a významně přispívá ke znečištění ovzduší. V posledních zhruba deseti letech získala elektrická vozidla tolik potřebný technologický impuls ve vývoji. Výroba elektromobilů je nyní levnější a zvýšila se jejich užitečnost, to vše při současném snížení uhlíkové stopy.</w:t>
      </w:r>
    </w:p>
    <w:p w:rsidR="00000000" w:rsidDel="00000000" w:rsidP="00000000" w:rsidRDefault="00000000" w:rsidRPr="00000000" w14:paraId="00000007">
      <w:pPr>
        <w:spacing w:line="36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Promluvme si na chvíli o spotřebiteli. Proč se spotřebitelé stále více zajímají o elektromobilitu? Odpověď je mnohostranná, ale také poměrně jednoduchá. Velkou zásluhu na tom má přizpůsobení se pandemii COVID-19. Spotřebitelé během pandemie méně cestovali a stále méně cestují, přičemž jejich zájem o elektromobilitu stále roste. Ve snaze sledovat vzorce mobility spotřebitelů a jejich nákupní záměry od začátku pandemie provedla společnost MCI průzkum zahrnující 13 000 spotřebitelů obývajících 18 zemí a zjistila, že 52 % lidí, kteří měli v úmyslu koupit si automobil, uvedlo, že se více přiklání k plně elektrickému, plug-in hybridnímu nebo hybridnímu vozu. Spotřebitelé se také nadále vyhýbají veřejné dopravě, zatímco sdílená mobilita je rovněž na vzestupu.</w:t>
      </w:r>
    </w:p>
    <w:p w:rsidR="00000000" w:rsidDel="00000000" w:rsidP="00000000" w:rsidRDefault="00000000" w:rsidRPr="00000000" w14:paraId="00000008">
      <w:pPr>
        <w:spacing w:line="36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Česká republika má nyní několik významných plánů, jak pomoci střední Evropě v přechodu na e-mobilitu, kterou by mělo ministerstvo průmyslu a obchodu podporovat. Program Technologie a aplikace pro konkurenceschopnost, který začne již v roce 2021 a potrvá až do roku 2027, podá pomocnou ruku podnikům, které si chtějí pořídit elektromobily, nákladní automobily a nabíjecí stanice, a to s příspěvkem 1 miliardy Kč a 6 miliard Kč na veřejnou nabíjecí infrastrukturu. Pozornosti se dostane i dopravě v podnikatelském sektoru, a to díky 5,4 miliardám Kč z Modernizačního fondu určeného na pomoc při modernizaci veřejné dopravy. A konečně Národní plán obnovy, jehož cílem je pomoci zemi zotavit se z postpandemické krize, přispěl částkou 1,3 miliardy Kč. Na podporu e-mobility, a tím i na zvýšení kvality ovzduší v ČR, je tedy vyčleněno přibližně 20 miliard Kč.</w:t>
      </w:r>
    </w:p>
    <w:p w:rsidR="00000000" w:rsidDel="00000000" w:rsidP="00000000" w:rsidRDefault="00000000" w:rsidRPr="00000000" w14:paraId="00000009">
      <w:pPr>
        <w:spacing w:line="36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Jak vidíte, faktorů je mnoho, ale Česká republika se spolu se zbytkem Evropy snaží přispět svým dílem k iniciativě e-mobility. S ohledem na reakci veřejnosti po pandemii, posun technologií a podporu ze strany podnikatelského sektoru si myslím, že lze s jistotou říci, že stanovené cíle budou splněny a Česká republika bude tam, kde má být.</w:t>
      </w:r>
    </w:p>
    <w:sectPr>
      <w:headerReference r:id="rId8" w:type="default"/>
      <w:pgSz w:h="16838" w:w="11906" w:orient="portrait"/>
      <w:pgMar w:bottom="1417" w:top="1417" w:left="1417" w:right="1417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Times New Roman"/>
  <w:font w:name="Ubuntu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0A">
    <w:pPr>
      <w:rPr/>
    </w:pPr>
    <w:r w:rsidDel="00000000" w:rsidR="00000000" w:rsidRPr="00000000">
      <w:rPr>
        <w:rFonts w:ascii="Ubuntu" w:cs="Ubuntu" w:eastAsia="Ubuntu" w:hAnsi="Ubuntu"/>
      </w:rPr>
      <w:drawing>
        <wp:inline distB="114300" distT="114300" distL="114300" distR="114300">
          <wp:extent cx="5760410" cy="762000"/>
          <wp:effectExtent b="0" l="0" r="0" t="0"/>
          <wp:docPr id="2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760410" cy="7620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cs-CZ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ln" w:default="1">
    <w:name w:val="Normal"/>
    <w:qFormat w:val="1"/>
  </w:style>
  <w:style w:type="character" w:styleId="Standardnpsmoodstavce" w:default="1">
    <w:name w:val="Default Paragraph Font"/>
    <w:uiPriority w:val="1"/>
    <w:semiHidden w:val="1"/>
    <w:unhideWhenUsed w:val="1"/>
  </w:style>
  <w:style w:type="table" w:styleId="Normlntabulka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Bezseznamu" w:default="1">
    <w:name w:val="No List"/>
    <w:uiPriority w:val="99"/>
    <w:semiHidden w:val="1"/>
    <w:unhideWhenUsed w:val="1"/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2.png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Ubuntu-regular.ttf"/><Relationship Id="rId2" Type="http://schemas.openxmlformats.org/officeDocument/2006/relationships/font" Target="fonts/Ubuntu-bold.ttf"/><Relationship Id="rId3" Type="http://schemas.openxmlformats.org/officeDocument/2006/relationships/font" Target="fonts/Ubuntu-italic.ttf"/><Relationship Id="rId4" Type="http://schemas.openxmlformats.org/officeDocument/2006/relationships/font" Target="fonts/Ubuntu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cQ5Ypq+hVGHe9lPMSpmB4l+M42g==">CgMxLjA4AHIhMWJfd3pRd0ttY2tzcVRKQkQ3aWNtVjJ1YjdFNXRBOEhI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2022-08-03T05:46:00Z</dcterms:created>
  <dc:creator>Admin</dc:creator>
</cp:coreProperties>
</file>