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Zelený vodík – energie budoucnosti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Změna klimatu je pro moderní svět velkou výzvou. Světové společenství se zavázalo přijmout opatření k zastavení růstu globálních teplot, a tím snížit nebo eliminovat emise uhlíku do roku 2050. Zásadní pro dosažení daného cíle je energetická transformace, sázka na obnovitelné zdroje energie a jejich průzkum, stejně jako investice do nových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ekologických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řešení, jako je například využívání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zeleného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vodíku.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nejběžnější prvek ve vesmíru – objevil v roce 1766 britský chemik a fyzik Henry Cavendish. Pro usnadnění diskuse o vodíku bylo přijato barevné označení a rozlišují se 3 hlavní typy vodíku: šedý, modrý a zelený.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Šedý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získává se zplyňováním uhlí nebo reformováním metanu. Vyrábí se</w:t>
        <w:br w:type="textWrapping"/>
        <w:t xml:space="preserve"> z fosilních paliv a je spojen se značnými emisemi CO2.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Modrý vodík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 získává se také parní přeměnou kovů nebo zplyňováním uhlí, ale</w:t>
        <w:br w:type="textWrapping"/>
        <w:t xml:space="preserve"> v tomto případě se používají metody zachycování a ukládání CO2, které snižují jeho emise, ale nejsou schopny je odstranit.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Zelený vodík – získává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se elektrolýzou s využitím energie z obnovitelných zdrojů. Charakteristickým rysem zeleného vodíku jsou jeho nulové emise a možnost využití v mnoha odvětvích, což z něj činí nejatraktivnější řešení pro globální ekonomiku.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Kromě těchto tří hlavních odrůd můžeme rozlišit také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tyrkysový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získaný pyrolýzou. Tato relativně nová metoda využívá zemní plyn a vedlejším efektem procesu je extrakce uhlíku. Tyrkysový vodík lze rozdělit na modrý a zelený.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Zelený vodík je v dnešním světě součástí zájmu mnoha zemí a hraje významnou roli</w:t>
        <w:br w:type="textWrapping"/>
        <w:t xml:space="preserve">v energetických plánech. Především se s přibývajícími lety stává výroba zeleného vodíku ekonomicky atraktivnější díky klesajícím nákladům na solární a větrnou energii. Faktorem, který podporuje investice do výroby zeleného vodíku, je příprava vhodných technologií a jejich zavádění v malém měřítku. Důležitým faktorem je také skutečnost, že vodík je vhodný pro dlouhodobé skladování energie a jeho využití je velmi široké a pokrývá řadu hospodářských odvětví, jako je průmysl, doprava a vytápění. Zájem o vodík je ve veřejných i soukromých institucích široký, ale samotná realizace opatření k rozšíření jeho využití naráží na řadu překážek.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Hlavní překážkou pro získávání ekologického vodíku je jeho vysoká cena; navzdory klesajícím nákladům na solární a větrnou energii vyžaduje získávání vodíku stále velký finanční náklad. Významnou překážkou je také nedostatek specializované infrastruktury a energetické ztráty, k nimž dochází v každé fázi získávání vodíku. Navzdory těmto překážkám je zelený vodík příležitostí s nulovými emisemi uhlíku. K účinnému využití potenciálu zeleného vodíku by země měly provádět integrované politiky založené na čtyřech hlavních pilířích:</w:t>
      </w:r>
    </w:p>
    <w:p w:rsidR="00000000" w:rsidDel="00000000" w:rsidP="00000000" w:rsidRDefault="00000000" w:rsidRPr="00000000" w14:paraId="0000000C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Vytvoření programů výzkumu a vývoje, vytvoření dokumentu s vizí, který odpoví na otázky „proč vodík, proč právě teď a proč právě tímto způsobem?", a cestovní mapy neboli akčního plánu, a nakonec vypracování přesné strategie;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Stanovení politických priorit;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Graf záruky původu;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Systém řízení a příznivé politiky, tj. široké zapojení do nového energetického odvětví. (Vypracováno v rámci projektu IRENA).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Tyto čtyři pilíře by měly poskytnout účinný způsob, jak dosáhnout cílů v oblasti ekologického vodíku.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4A7239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4A7239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4A7239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1oYNib7MxI1dONTNXqiQdhVQEQ==">CgMxLjA4AHIhMTVfdUM5bGNvY05Ia1J5NWFGMmlaeTl2eDZNYmlWN3dI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2023-02-16T14:26:00Z</dcterms:created>
  <dc:creator>Julia Munik</dc:creator>
</cp:coreProperties>
</file>